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지급명령 이의신청서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사건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사건번호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재판부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채권자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채무자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송달받은 날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both"/>
      </w:pPr>
      <w:r>
        <w:rPr>
          <w:rFonts w:ascii="Malgun Gothic" w:hAnsi="Malgun Gothic" w:eastAsia="Malgun Gothic" w:cs="Malgun Gothic"/>
          <w:b w:val="0"/>
          <w:sz w:val="22"/>
        </w:rPr>
        <w:t>채무자는 위 사건에 관하여 귀원으로부터 송달받은 지급명령에 대하여 이의를 신청합니다.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이의신청 이유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간단히 적어도 됩니다. (예: 청구금액에 다툼이 있어 이의를 신청합니다.)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72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채무자 :                                        (서명 또는 인)</w:t>
      </w:r>
    </w:p>
    <w:p>
      <w:pPr>
        <w:spacing w:after="19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4"/>
        </w:rPr>
        <w:t xml:space="preserve">                        법원  귀중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송달받은 날부터 2주 이내에 제출하지 않으면 지급명령이 확정되어 강제집행을 당할 수 있습니다. 제출 전 대한민국 법원 전자소송 사이트에서 최신 양식과 관할을 확인하십시오. 본 서식은 참고용입니다.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