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1" w:before="0" w:line="312" w:lineRule="auto"/>
        <w:jc w:val="center"/>
      </w:pPr>
      <w:r>
        <w:rPr>
          <w:rFonts w:ascii="Malgun Gothic" w:hAnsi="Malgun Gothic" w:eastAsia="Malgun Gothic" w:cs="Malgun Gothic"/>
          <w:b/>
          <w:color w:val="24384F"/>
          <w:sz w:val="36"/>
        </w:rPr>
        <w:t>동업계약서</w:t>
      </w:r>
    </w:p>
    <w:p>
      <w:pPr>
        <w:spacing w:after="103" w:before="0" w:line="312" w:lineRule="auto"/>
        <w:jc w:val="left"/>
        <w:pBdr>
          <w:bottom w:val="single" w:sz="14" w:space="2" w:color="24384F"/>
        </w:pBdr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82" w:before="0" w:line="312" w:lineRule="auto"/>
        <w:jc w:val="center"/>
      </w:pPr>
      <w:r>
        <w:rPr>
          <w:rFonts w:ascii="Malgun Gothic" w:hAnsi="Malgun Gothic" w:eastAsia="Malgun Gothic" w:cs="Malgun Gothic"/>
          <w:b w:val="0"/>
          <w:sz w:val="20"/>
        </w:rPr>
        <w:t>아래 당사자는 공동으로 사업을 영위하기 위하여 다음과 같이 계약을 체결한다.</w:t>
      </w:r>
    </w:p>
    <w:p>
      <w:pPr>
        <w:spacing w:after="41" w:before="82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동업자 및 출자 내역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644"/>
        <w:gridCol w:w="1644"/>
        <w:gridCol w:w="1644"/>
        <w:gridCol w:w="1644"/>
        <w:gridCol w:w="1644"/>
        <w:gridCol w:w="1644"/>
      </w:tblGrid>
      <w:tr>
        <w:trPr>
          <w:trHeight w:val="524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성명</w:t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생년월일</w:t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출자형태</w:t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출자 평가액</w:t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지분율</w:t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담당 역할</w:t>
            </w:r>
          </w:p>
        </w:tc>
      </w:tr>
      <w:tr>
        <w:trPr>
          <w:trHeight w:val="524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524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524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524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41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2466"/>
        <w:gridCol w:w="2466"/>
        <w:gridCol w:w="2466"/>
        <w:gridCol w:w="2466"/>
      </w:tblGrid>
      <w:tr>
        <w:trPr>
          <w:trHeight w:val="466" w:hRule="atLeast"/>
        </w:trPr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사업체명</w:t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사업 개시일</w:t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466" w:hRule="atLeast"/>
        </w:trPr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사업장 소재지</w:t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사업 종목</w:t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41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41" w:before="103" w:line="312" w:lineRule="auto"/>
        <w:jc w:val="left"/>
      </w:pPr>
      <w:r>
        <w:rPr>
          <w:rFonts w:ascii="Malgun Gothic" w:hAnsi="Malgun Gothic" w:eastAsia="Malgun Gothic" w:cs="Malgun Gothic"/>
          <w:b/>
          <w:sz w:val="21"/>
        </w:rPr>
        <w:t>제1조 (목적)</w:t>
      </w:r>
    </w:p>
    <w:p>
      <w:pPr>
        <w:spacing w:after="41" w:before="0" w:line="312" w:lineRule="auto"/>
        <w:ind w:left="170"/>
        <w:jc w:val="both"/>
      </w:pPr>
      <w:r>
        <w:rPr>
          <w:rFonts w:ascii="Malgun Gothic" w:hAnsi="Malgun Gothic" w:eastAsia="Malgun Gothic" w:cs="Malgun Gothic"/>
          <w:b w:val="0"/>
          <w:sz w:val="20"/>
        </w:rPr>
        <w:t>본 계약은 당사자가 공동으로 위 사업을 영위함에 있어 출자·지분·업무분담·손익분배 및 탈퇴에 관한 사항을 정함을 목적으로 한다.</w:t>
      </w:r>
    </w:p>
    <w:p>
      <w:pPr>
        <w:spacing w:after="41" w:before="103" w:line="312" w:lineRule="auto"/>
        <w:jc w:val="left"/>
      </w:pPr>
      <w:r>
        <w:rPr>
          <w:rFonts w:ascii="Malgun Gothic" w:hAnsi="Malgun Gothic" w:eastAsia="Malgun Gothic" w:cs="Malgun Gothic"/>
          <w:b/>
          <w:sz w:val="21"/>
        </w:rPr>
        <w:t>제2조 (출자)</w:t>
      </w:r>
    </w:p>
    <w:p>
      <w:pPr>
        <w:spacing w:after="41" w:before="0" w:line="312" w:lineRule="auto"/>
        <w:ind w:left="170"/>
        <w:jc w:val="both"/>
      </w:pPr>
      <w:r>
        <w:rPr>
          <w:rFonts w:ascii="Malgun Gothic" w:hAnsi="Malgun Gothic" w:eastAsia="Malgun Gothic" w:cs="Malgun Gothic"/>
          <w:b w:val="0"/>
          <w:sz w:val="20"/>
        </w:rPr>
        <w:t>각 동업자는 위 표에 기재된 출자를 계약 체결일부터      일 내에 이행한다.</w:t>
      </w:r>
    </w:p>
    <w:p>
      <w:pPr>
        <w:spacing w:after="41" w:before="0" w:line="312" w:lineRule="auto"/>
        <w:ind w:left="170"/>
        <w:jc w:val="both"/>
      </w:pPr>
      <w:r>
        <w:rPr>
          <w:rFonts w:ascii="Malgun Gothic" w:hAnsi="Malgun Gothic" w:eastAsia="Malgun Gothic" w:cs="Malgun Gothic"/>
          <w:b w:val="0"/>
          <w:sz w:val="20"/>
        </w:rPr>
        <w:t>노무 출자는 그 평가액과 최소 근무조건을 위 표 및 별지에 명시하며, 이를 이행하지 않을 경우 지분을 재조정한다.</w:t>
      </w:r>
    </w:p>
    <w:p>
      <w:pPr>
        <w:spacing w:after="41" w:before="103" w:line="312" w:lineRule="auto"/>
        <w:jc w:val="left"/>
      </w:pPr>
      <w:r>
        <w:rPr>
          <w:rFonts w:ascii="Malgun Gothic" w:hAnsi="Malgun Gothic" w:eastAsia="Malgun Gothic" w:cs="Malgun Gothic"/>
          <w:b/>
          <w:sz w:val="21"/>
        </w:rPr>
        <w:t>제3조 (지분)</w:t>
      </w:r>
    </w:p>
    <w:p>
      <w:pPr>
        <w:spacing w:after="41" w:before="0" w:line="312" w:lineRule="auto"/>
        <w:ind w:left="170"/>
        <w:jc w:val="both"/>
      </w:pPr>
      <w:r>
        <w:rPr>
          <w:rFonts w:ascii="Malgun Gothic" w:hAnsi="Malgun Gothic" w:eastAsia="Malgun Gothic" w:cs="Malgun Gothic"/>
          <w:b w:val="0"/>
          <w:sz w:val="20"/>
        </w:rPr>
        <w:t>지분은 위 표에 따르며, 추가 출자·증자로 지분이 변동되는 경우 전원의 서면 합의로 정한다.</w:t>
      </w:r>
    </w:p>
    <w:p>
      <w:pPr>
        <w:spacing w:after="41" w:before="0" w:line="312" w:lineRule="auto"/>
        <w:ind w:left="170"/>
        <w:jc w:val="both"/>
      </w:pPr>
      <w:r>
        <w:rPr>
          <w:rFonts w:ascii="Malgun Gothic" w:hAnsi="Malgun Gothic" w:eastAsia="Malgun Gothic" w:cs="Malgun Gothic"/>
          <w:b w:val="0"/>
          <w:sz w:val="20"/>
        </w:rPr>
        <w:t>동업자는 다른 동업자 전원의 서면 동의 없이 지분의 전부 또는 일부를 제3자에게 양도하거나 담보로 제공할 수 없다.</w:t>
      </w:r>
    </w:p>
    <w:p>
      <w:pPr>
        <w:spacing w:after="41" w:before="103" w:line="312" w:lineRule="auto"/>
        <w:jc w:val="left"/>
      </w:pPr>
      <w:r>
        <w:rPr>
          <w:rFonts w:ascii="Malgun Gothic" w:hAnsi="Malgun Gothic" w:eastAsia="Malgun Gothic" w:cs="Malgun Gothic"/>
          <w:b/>
          <w:sz w:val="21"/>
        </w:rPr>
        <w:t>제4조 (업무집행과 의사결정)</w:t>
      </w:r>
    </w:p>
    <w:p>
      <w:pPr>
        <w:spacing w:after="41" w:before="0" w:line="312" w:lineRule="auto"/>
        <w:ind w:left="170"/>
        <w:jc w:val="both"/>
      </w:pPr>
      <w:r>
        <w:rPr>
          <w:rFonts w:ascii="Malgun Gothic" w:hAnsi="Malgun Gothic" w:eastAsia="Malgun Gothic" w:cs="Malgun Gothic"/>
          <w:b w:val="0"/>
          <w:sz w:val="20"/>
        </w:rPr>
        <w:t>일상적인 업무는 각자 담당 역할에 따라 집행한다.</w:t>
      </w:r>
    </w:p>
    <w:p>
      <w:pPr>
        <w:spacing w:after="41" w:before="0" w:line="312" w:lineRule="auto"/>
        <w:ind w:left="170"/>
        <w:jc w:val="both"/>
      </w:pPr>
      <w:r>
        <w:rPr>
          <w:rFonts w:ascii="Malgun Gothic" w:hAnsi="Malgun Gothic" w:eastAsia="Malgun Gothic" w:cs="Malgun Gothic"/>
          <w:b w:val="0"/>
          <w:sz w:val="20"/>
        </w:rPr>
        <w:t>다음 사항은 동업자 전원의 서면 합의로 결정한다. 신규 차입, 자산의 처분, 신규 동업자 영입, 사업 종목의 변경, 금             원 이상의 지출.</w:t>
      </w:r>
    </w:p>
    <w:p>
      <w:pPr>
        <w:spacing w:after="41" w:before="0" w:line="312" w:lineRule="auto"/>
        <w:ind w:left="170"/>
        <w:jc w:val="both"/>
      </w:pPr>
      <w:r>
        <w:rPr>
          <w:rFonts w:ascii="Malgun Gothic" w:hAnsi="Malgun Gothic" w:eastAsia="Malgun Gothic" w:cs="Malgun Gothic"/>
          <w:b w:val="0"/>
          <w:sz w:val="20"/>
        </w:rPr>
        <w:t>그 외 사항은 지분 과반수의 동의로 결정한다.</w:t>
      </w:r>
    </w:p>
    <w:p>
      <w:pPr>
        <w:spacing w:after="41" w:before="103" w:line="312" w:lineRule="auto"/>
        <w:jc w:val="left"/>
      </w:pPr>
      <w:r>
        <w:rPr>
          <w:rFonts w:ascii="Malgun Gothic" w:hAnsi="Malgun Gothic" w:eastAsia="Malgun Gothic" w:cs="Malgun Gothic"/>
          <w:b/>
          <w:sz w:val="21"/>
        </w:rPr>
        <w:t>제5조 (손익의 분배)</w:t>
      </w:r>
    </w:p>
    <w:p>
      <w:pPr>
        <w:spacing w:after="41" w:before="0" w:line="312" w:lineRule="auto"/>
        <w:ind w:left="170"/>
        <w:jc w:val="both"/>
      </w:pPr>
      <w:r>
        <w:rPr>
          <w:rFonts w:ascii="Malgun Gothic" w:hAnsi="Malgun Gothic" w:eastAsia="Malgun Gothic" w:cs="Malgun Gothic"/>
          <w:b w:val="0"/>
          <w:sz w:val="20"/>
        </w:rPr>
        <w:t>손익은 지분율에 따라 분배하며, 분배 시기는 매      개월마다 결산 후      일 내로 한다.</w:t>
      </w:r>
    </w:p>
    <w:p>
      <w:pPr>
        <w:spacing w:after="41" w:before="0" w:line="312" w:lineRule="auto"/>
        <w:ind w:left="170"/>
        <w:jc w:val="both"/>
      </w:pPr>
      <w:r>
        <w:rPr>
          <w:rFonts w:ascii="Malgun Gothic" w:hAnsi="Malgun Gothic" w:eastAsia="Malgun Gothic" w:cs="Malgun Gothic"/>
          <w:b w:val="0"/>
          <w:sz w:val="20"/>
        </w:rPr>
        <w:t>동업자에게 지급하는 급여 또는 활동비는 손익분배와 별도로 하며 그 금액은 전원 합의로 정한다.</w:t>
      </w:r>
    </w:p>
    <w:p>
      <w:pPr>
        <w:spacing w:after="41" w:before="103" w:line="312" w:lineRule="auto"/>
        <w:jc w:val="left"/>
      </w:pPr>
      <w:r>
        <w:rPr>
          <w:rFonts w:ascii="Malgun Gothic" w:hAnsi="Malgun Gothic" w:eastAsia="Malgun Gothic" w:cs="Malgun Gothic"/>
          <w:b/>
          <w:sz w:val="21"/>
        </w:rPr>
        <w:t>제6조 (회계와 열람)</w:t>
      </w:r>
    </w:p>
    <w:p>
      <w:pPr>
        <w:spacing w:after="41" w:before="0" w:line="312" w:lineRule="auto"/>
        <w:ind w:left="170"/>
        <w:jc w:val="both"/>
      </w:pPr>
      <w:r>
        <w:rPr>
          <w:rFonts w:ascii="Malgun Gothic" w:hAnsi="Malgun Gothic" w:eastAsia="Malgun Gothic" w:cs="Malgun Gothic"/>
          <w:b w:val="0"/>
          <w:sz w:val="20"/>
        </w:rPr>
        <w:t>사업의 회계는 별도 계좌로 관리하고 모든 수입·지출은 증빙을 보관한다.</w:t>
      </w:r>
    </w:p>
    <w:p>
      <w:pPr>
        <w:spacing w:after="41" w:before="0" w:line="312" w:lineRule="auto"/>
        <w:ind w:left="170"/>
        <w:jc w:val="both"/>
      </w:pPr>
      <w:r>
        <w:rPr>
          <w:rFonts w:ascii="Malgun Gothic" w:hAnsi="Malgun Gothic" w:eastAsia="Malgun Gothic" w:cs="Malgun Gothic"/>
          <w:b w:val="0"/>
          <w:sz w:val="20"/>
        </w:rPr>
        <w:t>각 동업자는 언제든지 장부와 증빙의 열람·복사를 요구할 수 있다.</w:t>
      </w:r>
    </w:p>
    <w:p>
      <w:pPr>
        <w:spacing w:after="41" w:before="103" w:line="312" w:lineRule="auto"/>
        <w:jc w:val="left"/>
      </w:pPr>
      <w:r>
        <w:rPr>
          <w:rFonts w:ascii="Malgun Gothic" w:hAnsi="Malgun Gothic" w:eastAsia="Malgun Gothic" w:cs="Malgun Gothic"/>
          <w:b/>
          <w:sz w:val="21"/>
        </w:rPr>
        <w:t>제7조 (경업금지)</w:t>
      </w:r>
    </w:p>
    <w:p>
      <w:pPr>
        <w:spacing w:after="41" w:before="0" w:line="312" w:lineRule="auto"/>
        <w:ind w:left="170"/>
        <w:jc w:val="both"/>
      </w:pPr>
      <w:r>
        <w:rPr>
          <w:rFonts w:ascii="Malgun Gothic" w:hAnsi="Malgun Gothic" w:eastAsia="Malgun Gothic" w:cs="Malgun Gothic"/>
          <w:b w:val="0"/>
          <w:sz w:val="20"/>
        </w:rPr>
        <w:t>동업자는 계약 기간 중 및 탈퇴 후      년간 동일·유사한 사업을 직접 또는 제3자를 통하여 영위하지 않는다.</w:t>
      </w:r>
    </w:p>
    <w:p>
      <w:pPr>
        <w:spacing w:after="41" w:before="103" w:line="312" w:lineRule="auto"/>
        <w:jc w:val="left"/>
      </w:pPr>
      <w:r>
        <w:rPr>
          <w:rFonts w:ascii="Malgun Gothic" w:hAnsi="Malgun Gothic" w:eastAsia="Malgun Gothic" w:cs="Malgun Gothic"/>
          <w:b/>
          <w:sz w:val="21"/>
        </w:rPr>
        <w:t>제8조 (탈퇴와 정산)</w:t>
      </w:r>
    </w:p>
    <w:p>
      <w:pPr>
        <w:spacing w:after="41" w:before="0" w:line="312" w:lineRule="auto"/>
        <w:ind w:left="170"/>
        <w:jc w:val="both"/>
      </w:pPr>
      <w:r>
        <w:rPr>
          <w:rFonts w:ascii="Malgun Gothic" w:hAnsi="Malgun Gothic" w:eastAsia="Malgun Gothic" w:cs="Malgun Gothic"/>
          <w:b w:val="0"/>
          <w:sz w:val="20"/>
        </w:rPr>
        <w:t>동업자는      개월 전 서면 통지로 탈퇴할 수 있다.</w:t>
      </w:r>
    </w:p>
    <w:p>
      <w:pPr>
        <w:spacing w:after="41" w:before="0" w:line="312" w:lineRule="auto"/>
        <w:ind w:left="170"/>
        <w:jc w:val="both"/>
      </w:pPr>
      <w:r>
        <w:rPr>
          <w:rFonts w:ascii="Malgun Gothic" w:hAnsi="Malgun Gothic" w:eastAsia="Malgun Gothic" w:cs="Malgun Gothic"/>
          <w:b w:val="0"/>
          <w:sz w:val="20"/>
        </w:rPr>
        <w:t>탈퇴자의 지분은 탈퇴일 기준 순자산에 지분율을 곱한 금액으로 평가하여      개월 내에 정산한다. 평가에 이견이 있으면 쌍방이 합의한 회계사의 평가에 따른다.</w:t>
      </w:r>
    </w:p>
    <w:p>
      <w:pPr>
        <w:spacing w:after="41" w:before="0" w:line="312" w:lineRule="auto"/>
        <w:ind w:left="170"/>
        <w:jc w:val="both"/>
      </w:pPr>
      <w:r>
        <w:rPr>
          <w:rFonts w:ascii="Malgun Gothic" w:hAnsi="Malgun Gothic" w:eastAsia="Malgun Gothic" w:cs="Malgun Gothic"/>
          <w:b w:val="0"/>
          <w:sz w:val="20"/>
        </w:rPr>
        <w:t>잔존 동업자는 탈퇴자의 지분을 우선 매수할 권리를 가진다.</w:t>
      </w:r>
    </w:p>
    <w:p>
      <w:pPr>
        <w:spacing w:after="41" w:before="103" w:line="312" w:lineRule="auto"/>
        <w:jc w:val="left"/>
      </w:pPr>
      <w:r>
        <w:rPr>
          <w:rFonts w:ascii="Malgun Gothic" w:hAnsi="Malgun Gothic" w:eastAsia="Malgun Gothic" w:cs="Malgun Gothic"/>
          <w:b/>
          <w:sz w:val="21"/>
        </w:rPr>
        <w:t>제9조 (제외)</w:t>
      </w:r>
    </w:p>
    <w:p>
      <w:pPr>
        <w:spacing w:after="41" w:before="0" w:line="312" w:lineRule="auto"/>
        <w:ind w:left="170"/>
        <w:jc w:val="both"/>
      </w:pPr>
      <w:r>
        <w:rPr>
          <w:rFonts w:ascii="Malgun Gothic" w:hAnsi="Malgun Gothic" w:eastAsia="Malgun Gothic" w:cs="Malgun Gothic"/>
          <w:b w:val="0"/>
          <w:sz w:val="20"/>
        </w:rPr>
        <w:t>동업자가 출자를 이행하지 않거나 횡령·배임 등 중대한 의무 위반을 한 경우 다른 동업자 전원의 합의로 제외할 수 있다.</w:t>
      </w:r>
    </w:p>
    <w:p>
      <w:pPr>
        <w:spacing w:after="41" w:before="103" w:line="312" w:lineRule="auto"/>
        <w:jc w:val="left"/>
      </w:pPr>
      <w:r>
        <w:rPr>
          <w:rFonts w:ascii="Malgun Gothic" w:hAnsi="Malgun Gothic" w:eastAsia="Malgun Gothic" w:cs="Malgun Gothic"/>
          <w:b/>
          <w:sz w:val="21"/>
        </w:rPr>
        <w:t>제10조 (해산)</w:t>
      </w:r>
    </w:p>
    <w:p>
      <w:pPr>
        <w:spacing w:after="41" w:before="0" w:line="312" w:lineRule="auto"/>
        <w:ind w:left="170"/>
        <w:jc w:val="both"/>
      </w:pPr>
      <w:r>
        <w:rPr>
          <w:rFonts w:ascii="Malgun Gothic" w:hAnsi="Malgun Gothic" w:eastAsia="Malgun Gothic" w:cs="Malgun Gothic"/>
          <w:b w:val="0"/>
          <w:sz w:val="20"/>
        </w:rPr>
        <w:t>사업의 해산은 동업자 전원의 합의로 하며, 잔여재산은 채무를 변제한 후 지분율에 따라 분배한다.</w:t>
      </w:r>
    </w:p>
    <w:p>
      <w:pPr>
        <w:spacing w:after="41" w:before="103" w:line="312" w:lineRule="auto"/>
        <w:jc w:val="left"/>
      </w:pPr>
      <w:r>
        <w:rPr>
          <w:rFonts w:ascii="Malgun Gothic" w:hAnsi="Malgun Gothic" w:eastAsia="Malgun Gothic" w:cs="Malgun Gothic"/>
          <w:b/>
          <w:sz w:val="21"/>
        </w:rPr>
        <w:t>제11조 (분쟁해결)</w:t>
      </w:r>
    </w:p>
    <w:p>
      <w:pPr>
        <w:spacing w:after="41" w:before="0" w:line="312" w:lineRule="auto"/>
        <w:ind w:left="170"/>
        <w:jc w:val="both"/>
      </w:pPr>
      <w:r>
        <w:rPr>
          <w:rFonts w:ascii="Malgun Gothic" w:hAnsi="Malgun Gothic" w:eastAsia="Malgun Gothic" w:cs="Malgun Gothic"/>
          <w:b w:val="0"/>
          <w:sz w:val="20"/>
        </w:rPr>
        <w:t>본 계약에 관한 분쟁은 상호 협의로 해결하되, 협의가 되지 않으면 사업장 소재지 관할법원을 제1심 관할법원으로 한다.</w:t>
      </w:r>
    </w:p>
    <w:p>
      <w:pPr>
        <w:spacing w:after="41" w:before="82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특약사항</w:t>
      </w:r>
    </w:p>
    <w:p>
      <w:pPr>
        <w:spacing w:after="41" w:before="0" w:line="312" w:lineRule="auto"/>
        <w:jc w:val="left"/>
      </w:pPr>
      <w:r>
        <w:rPr>
          <w:rFonts w:ascii="Malgun Gothic" w:hAnsi="Malgun Gothic" w:eastAsia="Malgun Gothic" w:cs="Malgun Gothic"/>
          <w:b w:val="0"/>
          <w:color w:val="6B7280"/>
          <w:sz w:val="17"/>
        </w:rPr>
        <w:t>상표·특허 등 지식재산의 귀속, 가족의 사업 참여, 배우자 동의 여부 등 합의한 내용을 기재하십시오.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9866"/>
      </w:tblGrid>
      <w:tr>
        <w:trPr>
          <w:trHeight w:val="1283" w:hRule="atLeast"/>
        </w:trPr>
        <w:tc>
          <w:tcPr>
            <w:tcW w:type="dxa" w:w="98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41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41" w:before="0" w:line="312" w:lineRule="auto"/>
        <w:jc w:val="center"/>
      </w:pPr>
      <w:r>
        <w:rPr>
          <w:rFonts w:ascii="Malgun Gothic" w:hAnsi="Malgun Gothic" w:eastAsia="Malgun Gothic" w:cs="Malgun Gothic"/>
          <w:b w:val="0"/>
          <w:sz w:val="20"/>
        </w:rPr>
        <w:t>본 계약을 증명하기 위하여 동업자 수만큼 계약서를 작성하여 각자 1부씩 보관한다.</w:t>
      </w:r>
    </w:p>
    <w:p>
      <w:pPr>
        <w:spacing w:after="82" w:before="82" w:line="312" w:lineRule="auto"/>
        <w:jc w:val="center"/>
      </w:pPr>
      <w:r>
        <w:rPr>
          <w:rFonts w:ascii="Malgun Gothic" w:hAnsi="Malgun Gothic" w:eastAsia="Malgun Gothic" w:cs="Malgun Gothic"/>
          <w:b w:val="0"/>
          <w:sz w:val="22"/>
        </w:rPr>
        <w:t>20        년        월        일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2466"/>
        <w:gridCol w:w="2466"/>
        <w:gridCol w:w="2466"/>
        <w:gridCol w:w="2466"/>
      </w:tblGrid>
      <w:tr>
        <w:trPr>
          <w:trHeight w:val="641" w:hRule="atLeast"/>
        </w:trPr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구분</w:t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성명</w:t>
            </w:r>
          </w:p>
        </w:tc>
        <w:tc>
          <w:tcPr>
            <w:tcW w:type="dxa" w:w="25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주소</w:t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서명 또는 인</w:t>
            </w:r>
          </w:p>
        </w:tc>
      </w:tr>
      <w:tr>
        <w:trPr>
          <w:trHeight w:val="641" w:hRule="atLeast"/>
        </w:trPr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동업자</w:t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5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641" w:hRule="atLeast"/>
        </w:trPr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5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641" w:hRule="atLeast"/>
        </w:trPr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5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41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0" w:before="62" w:line="312" w:lineRule="auto"/>
        <w:jc w:val="left"/>
      </w:pPr>
      <w:r>
        <w:rPr>
          <w:rFonts w:ascii="Malgun Gothic" w:hAnsi="Malgun Gothic" w:eastAsia="Malgun Gothic" w:cs="Malgun Gothic"/>
          <w:b w:val="0"/>
          <w:color w:val="6B7280"/>
          <w:sz w:val="17"/>
        </w:rPr>
        <w:t>※ 본 서식은 참고용이며 개별 사안에 대한 법적 효력과 적합성은 이용자가 확인해야 합니다. 출자금이 크거나 지식재산이 관련된 경우 반드시 전문가의 검토를 받으십시오.</w:t>
      </w:r>
    </w:p>
    <w:sectPr w:rsidR="00FC693F" w:rsidRPr="0006063C" w:rsidSect="00034616">
      <w:footerReference w:type="default" r:id="rId9"/>
      <w:pgSz w:w="11906" w:h="16838"/>
      <w:pgMar w:top="1020" w:right="1020" w:bottom="102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center"/>
    </w:pPr>
    <w:r>
      <w:rPr>
        <w:rFonts w:ascii="Malgun Gothic" w:hAnsi="Malgun Gothic" w:eastAsia="Malgun Gothic" w:cs="Malgun Gothic"/>
        <w:b w:val="0"/>
        <w:color w:val="6B7280"/>
        <w:sz w:val="15"/>
      </w:rPr>
      <w:t>무료서식 다운로드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algun Gothic" w:hAnsi="Malgun Gothic" w:eastAsia="Malgun Gothi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