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퇴거 점검표</w:t>
      </w:r>
    </w:p>
    <w:p>
      <w:pPr>
        <w:spacing w:after="8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기본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퇴거일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임대인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임차인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35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시설물 상태 확인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공간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점검항목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상태(양호/파손)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공과금·관리비 정산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33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3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37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보증금 정산 및 반환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보증금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공제 합계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반환 예정액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반환 예정일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4" w:before="6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확인</w:t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열쇠·카드키·주차카드를 모두 반납했습니다.</w:t>
      </w:r>
    </w:p>
    <w:p>
      <w:pPr>
        <w:spacing w:after="34" w:before="0" w:line="312" w:lineRule="auto"/>
        <w:ind w:left="170"/>
        <w:jc w:val="left"/>
      </w:pPr>
      <w:r>
        <w:rPr>
          <w:rFonts w:ascii="Malgun Gothic" w:hAnsi="Malgun Gothic" w:eastAsia="Malgun Gothic" w:cs="Malgun Gothic"/>
          <w:b w:val="0"/>
          <w:sz w:val="20"/>
        </w:rPr>
        <w:t>· 위 점검 및 정산 내용에 이의가 없습니다.</w:t>
      </w:r>
    </w:p>
    <w:p>
      <w:pPr>
        <w:spacing w:after="68" w:before="6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임대인 :                                        (서명 또는 인)</w:t>
      </w:r>
    </w:p>
    <w:p>
      <w:pPr>
        <w:spacing w:after="6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임차인 :                                        (서명 또는 인)</w:t>
      </w:r>
    </w:p>
    <w:p>
      <w:pPr>
        <w:spacing w:after="0" w:before="51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정산 결과는 보증금 반환의 참고 자료이므로 사진과 함께 보관하고, 반환이 지연되면 내용증명 등으로 대응하십시오.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