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240" w:lineRule="auto"/>
        <w:jc w:val="left"/>
      </w:pPr>
      <w:r>
        <w:rPr>
          <w:rFonts w:ascii="Malgun Gothic" w:hAnsi="Malgun Gothic" w:eastAsia="Malgun Gothic" w:cs="Malgun Gothic"/>
          <w:b w:val="0"/>
          <w:sz w:val="13"/>
        </w:rPr>
        <w:t>■ 식품위생법 시행규칙 [별지 제37호서식] &lt;개정 2026. 9. 1.&gt;</w:t>
      </w:r>
    </w:p>
    <w:p>
      <w:pPr>
        <w:spacing w:after="37" w:before="0" w:line="312" w:lineRule="auto"/>
        <w:jc w:val="center"/>
      </w:pPr>
      <w:r>
        <w:rPr>
          <w:rFonts w:ascii="Malgun Gothic" w:hAnsi="Malgun Gothic" w:eastAsia="Malgun Gothic" w:cs="Malgun Gothic"/>
          <w:b/>
          <w:color w:val="24384F"/>
          <w:sz w:val="36"/>
        </w:rPr>
        <w:t>식품 영업 신고서</w:t>
      </w:r>
    </w:p>
    <w:p>
      <w:pPr>
        <w:spacing w:after="92" w:before="0" w:line="312" w:lineRule="auto"/>
        <w:jc w:val="left"/>
        <w:pBdr>
          <w:bottom w:val="single" w:sz="14" w:space="2" w:color="24384F"/>
        </w:pBdr>
      </w:pPr>
      <w:r>
        <w:rPr>
          <w:rFonts w:ascii="Malgun Gothic" w:hAnsi="Malgun Gothic" w:eastAsia="Malgun Gothic" w:cs="Malgun Gothic"/>
          <w:b w:val="0"/>
          <w:sz w:val="4"/>
        </w:rPr>
      </w:r>
    </w:p>
    <w:p>
      <w:pPr>
        <w:spacing w:before="0" w:after="138" w:line="20" w:lineRule="exact"/>
        <w:rPr>
          <w:sz w:val="2"/>
        </w:rPr>
      </w:pPr>
    </w:p>
    <w:p>
      <w:pPr>
        <w:spacing w:after="0" w:before="0" w:line="240" w:lineRule="auto"/>
        <w:jc w:val="left"/>
      </w:pPr>
      <w:r>
        <w:rPr>
          <w:rFonts w:ascii="Malgun Gothic" w:hAnsi="Malgun Gothic" w:eastAsia="Malgun Gothic" w:cs="Malgun Gothic"/>
          <w:b w:val="0"/>
          <w:sz w:val="13"/>
        </w:rPr>
        <w:t>※ 뒤쪽의 구비서류와 신고안내, 유의사항을 읽고 작성하시기 바라며, [ ]에는 해당되는 곳에 √ 표를 합니다.</w:t>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513"/>
        <w:gridCol w:w="2342"/>
        <w:gridCol w:w="2003"/>
        <w:gridCol w:w="2236"/>
        <w:gridCol w:w="2232"/>
        <w:gridCol w:w="537"/>
      </w:tblGrid>
      <w:tr>
        <w:trPr>
          <w:trHeight w:val="264" w:hRule="atLeast"/>
        </w:trPr>
        <w:tc>
          <w:tcPr>
            <w:tcW w:type="dxa" w:w="514"/>
            <w:tcBorders>
              <w:top w:val="nil"/>
              <w:left w:val="nil"/>
              <w:bottom w:val="nil"/>
              <w:right w:val="nil"/>
            </w:tcBorders>
          </w:tcPr>
          <w:p>
            <w:pPr>
              <w:spacing w:before="0" w:after="0" w:line="20" w:lineRule="exact"/>
              <w:rPr>
                <w:sz w:val="2"/>
              </w:rPr>
            </w:pPr>
          </w:p>
        </w:tc>
        <w:tc>
          <w:tcPr>
            <w:tcW w:type="dxa" w:w="234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5"/>
              </w:rPr>
              <w:t>접수번호</w:t>
            </w:r>
          </w:p>
        </w:tc>
        <w:tc>
          <w:tcPr>
            <w:tcW w:type="dxa" w:w="200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5"/>
              </w:rPr>
              <w:t>접수일</w:t>
            </w:r>
          </w:p>
        </w:tc>
        <w:tc>
          <w:tcPr>
            <w:tcW w:type="dxa" w:w="2236"/>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5"/>
              </w:rPr>
              <w:t>발급일</w:t>
            </w:r>
          </w:p>
        </w:tc>
        <w:tc>
          <w:tcPr>
            <w:tcW w:type="dxa" w:w="223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5"/>
              </w:rPr>
              <w:t>처리기간  즉시</w:t>
            </w:r>
          </w:p>
        </w:tc>
        <w:tc>
          <w:tcPr>
            <w:tcW w:type="dxa" w:w="538"/>
            <w:tcBorders>
              <w:top w:val="nil"/>
              <w:left w:val="nil"/>
              <w:bottom w:val="nil"/>
              <w:right w:val="nil"/>
            </w:tcBorders>
          </w:tcPr>
          <w:p>
            <w:pPr>
              <w:spacing w:before="0" w:after="0" w:line="20" w:lineRule="exact"/>
              <w:rPr>
                <w:sz w:val="2"/>
              </w:rPr>
            </w:pPr>
          </w:p>
        </w:tc>
      </w:tr>
    </w:tbl>
    <w:p>
      <w:pPr>
        <w:spacing w:before="0" w:after="0" w:line="20" w:lineRule="exact"/>
        <w:rPr>
          <w:sz w:val="2"/>
        </w:rPr>
      </w:pPr>
    </w:p>
    <w:p>
      <w:pPr>
        <w:spacing w:before="0" w:after="105"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513"/>
        <w:gridCol w:w="1020"/>
        <w:gridCol w:w="3740"/>
        <w:gridCol w:w="4053"/>
        <w:gridCol w:w="537"/>
      </w:tblGrid>
      <w:tr>
        <w:trPr>
          <w:trHeight w:val="303" w:hRule="atLeast"/>
        </w:trPr>
        <w:tc>
          <w:tcPr>
            <w:tcW w:type="dxa" w:w="514"/>
            <w:tcBorders>
              <w:top w:val="nil"/>
              <w:left w:val="nil"/>
              <w:bottom w:val="nil"/>
              <w:right w:val="nil"/>
            </w:tcBorders>
          </w:tcPr>
          <w:p>
            <w:pPr>
              <w:spacing w:before="0" w:after="0" w:line="20" w:lineRule="exact"/>
              <w:rPr>
                <w:sz w:val="2"/>
              </w:rPr>
            </w:pPr>
          </w:p>
        </w:tc>
        <w:tc>
          <w:tcPr>
            <w:tcW w:type="dxa" w:w="1020"/>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9"/>
              </w:rPr>
              <w:t>신고인</w:t>
            </w:r>
          </w:p>
        </w:tc>
        <w:tc>
          <w:tcPr>
            <w:tcW w:type="dxa" w:w="374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성명(법인은 법인 명칭 및 대표자의 성명)</w:t>
            </w:r>
          </w:p>
        </w:tc>
        <w:tc>
          <w:tcPr>
            <w:tcW w:type="dxa" w:w="405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주민(법인)등록번호</w:t>
            </w:r>
          </w:p>
        </w:tc>
        <w:tc>
          <w:tcPr>
            <w:tcW w:type="dxa" w:w="538"/>
            <w:tcBorders>
              <w:top w:val="nil"/>
              <w:left w:val="nil"/>
              <w:bottom w:val="nil"/>
              <w:right w:val="nil"/>
            </w:tcBorders>
          </w:tcPr>
          <w:p>
            <w:pPr>
              <w:spacing w:before="0" w:after="0" w:line="20" w:lineRule="exact"/>
              <w:rPr>
                <w:sz w:val="2"/>
              </w:rPr>
            </w:pPr>
          </w:p>
        </w:tc>
      </w:tr>
      <w:tr>
        <w:trPr>
          <w:trHeight w:val="305" w:hRule="atLeast"/>
        </w:trPr>
        <w:tc>
          <w:tcPr>
            <w:tcW w:type="dxa" w:w="514"/>
            <w:tcBorders>
              <w:top w:val="nil"/>
              <w:left w:val="nil"/>
              <w:bottom w:val="nil"/>
              <w:right w:val="nil"/>
            </w:tcBorders>
          </w:tcPr>
          <w:p>
            <w:pPr>
              <w:spacing w:before="0" w:after="0" w:line="20" w:lineRule="exact"/>
              <w:rPr>
                <w:sz w:val="2"/>
              </w:rPr>
            </w:pPr>
          </w:p>
        </w:tc>
        <w:tc>
          <w:tcPr>
            <w:tcW w:type="dxa" w:w="1020"/>
            <w:vMerge/>
          </w:tcPr>
          <w:p/>
        </w:tc>
        <w:tc>
          <w:tcPr>
            <w:tcW w:type="dxa" w:w="374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주소(법인은 주된 사무소의 소재지)</w:t>
            </w:r>
          </w:p>
        </w:tc>
        <w:tc>
          <w:tcPr>
            <w:tcW w:type="dxa" w:w="405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전화번호</w:t>
            </w:r>
          </w:p>
        </w:tc>
        <w:tc>
          <w:tcPr>
            <w:tcW w:type="dxa" w:w="538"/>
            <w:tcBorders>
              <w:top w:val="nil"/>
              <w:left w:val="nil"/>
              <w:bottom w:val="nil"/>
              <w:right w:val="nil"/>
            </w:tcBorders>
          </w:tcPr>
          <w:p>
            <w:pPr>
              <w:spacing w:before="0" w:after="0" w:line="20" w:lineRule="exact"/>
              <w:rPr>
                <w:sz w:val="2"/>
              </w:rPr>
            </w:pPr>
          </w:p>
        </w:tc>
      </w:tr>
    </w:tbl>
    <w:p>
      <w:pPr>
        <w:spacing w:before="0" w:after="0" w:line="20" w:lineRule="exact"/>
        <w:rPr>
          <w:sz w:val="2"/>
        </w:rPr>
      </w:pPr>
    </w:p>
    <w:p>
      <w:pPr>
        <w:spacing w:before="0" w:after="114"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513"/>
        <w:gridCol w:w="1020"/>
        <w:gridCol w:w="3740"/>
        <w:gridCol w:w="4053"/>
        <w:gridCol w:w="537"/>
      </w:tblGrid>
      <w:tr>
        <w:trPr>
          <w:trHeight w:val="256" w:hRule="atLeast"/>
        </w:trPr>
        <w:tc>
          <w:tcPr>
            <w:tcW w:type="dxa" w:w="514"/>
            <w:tcBorders>
              <w:top w:val="nil"/>
              <w:left w:val="nil"/>
              <w:bottom w:val="nil"/>
              <w:right w:val="nil"/>
            </w:tcBorders>
          </w:tcPr>
          <w:p>
            <w:pPr>
              <w:spacing w:before="0" w:after="0" w:line="20" w:lineRule="exact"/>
              <w:rPr>
                <w:sz w:val="2"/>
              </w:rPr>
            </w:pPr>
          </w:p>
        </w:tc>
        <w:tc>
          <w:tcPr>
            <w:tcW w:type="dxa" w:w="1020"/>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9"/>
              </w:rPr>
              <w:t>신고사항</w:t>
            </w:r>
          </w:p>
        </w:tc>
        <w:tc>
          <w:tcPr>
            <w:tcW w:type="dxa" w:w="3740"/>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명칭(상호)</w:t>
            </w:r>
          </w:p>
        </w:tc>
        <w:tc>
          <w:tcPr>
            <w:tcW w:type="dxa" w:w="405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전화번호</w:t>
            </w:r>
          </w:p>
        </w:tc>
        <w:tc>
          <w:tcPr>
            <w:tcW w:type="dxa" w:w="538"/>
            <w:tcBorders>
              <w:top w:val="nil"/>
              <w:left w:val="nil"/>
              <w:bottom w:val="nil"/>
              <w:right w:val="nil"/>
            </w:tcBorders>
          </w:tcPr>
          <w:p>
            <w:pPr>
              <w:spacing w:before="0" w:after="0" w:line="20" w:lineRule="exact"/>
              <w:rPr>
                <w:sz w:val="2"/>
              </w:rPr>
            </w:pPr>
          </w:p>
        </w:tc>
      </w:tr>
      <w:tr>
        <w:trPr>
          <w:trHeight w:val="1439" w:hRule="atLeast"/>
        </w:trPr>
        <w:tc>
          <w:tcPr>
            <w:tcW w:type="dxa" w:w="514"/>
            <w:tcBorders>
              <w:top w:val="nil"/>
              <w:left w:val="nil"/>
              <w:bottom w:val="nil"/>
              <w:right w:val="nil"/>
            </w:tcBorders>
          </w:tcPr>
          <w:p>
            <w:pPr>
              <w:spacing w:before="0" w:after="0" w:line="20" w:lineRule="exact"/>
              <w:rPr>
                <w:sz w:val="2"/>
              </w:rPr>
            </w:pPr>
          </w:p>
        </w:tc>
        <w:tc>
          <w:tcPr>
            <w:tcW w:type="dxa" w:w="1020"/>
            <w:vMerge/>
          </w:tcPr>
          <w:p/>
        </w:tc>
        <w:tc>
          <w:tcPr>
            <w:tcW w:type="dxa" w:w="779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 ]즉석판매제조ㆍ가공업 [ ]집단급식소 식품판매업 [ ]일반음식점영업</w:t>
            </w:r>
          </w:p>
          <w:p>
            <w:pPr>
              <w:spacing w:after="0" w:before="0" w:line="240" w:lineRule="auto"/>
              <w:jc w:val="left"/>
            </w:pPr>
            <w:r>
              <w:rPr>
                <w:rFonts w:ascii="Malgun Gothic" w:hAnsi="Malgun Gothic" w:eastAsia="Malgun Gothic" w:cs="Malgun Gothic"/>
                <w:b w:val="0"/>
                <w:sz w:val="17"/>
              </w:rPr>
              <w:t>[ ]식품운반업      [ ]기타식품판매업    [ ]위탁급식영업 영업의 [ ]식품소분업      [ ]식품냉동ㆍ냉장업   [ ]제과점영업 종류 [ ]식용얼음판매업    [ ]용기ㆍ포장지제조업</w:t>
            </w:r>
          </w:p>
          <w:p>
            <w:pPr>
              <w:spacing w:after="0" w:before="0" w:line="240" w:lineRule="auto"/>
              <w:jc w:val="left"/>
            </w:pPr>
            <w:r>
              <w:rPr>
                <w:rFonts w:ascii="Malgun Gothic" w:hAnsi="Malgun Gothic" w:eastAsia="Malgun Gothic" w:cs="Malgun Gothic"/>
                <w:b w:val="0"/>
                <w:sz w:val="17"/>
              </w:rPr>
              <w:t>[ ]식품자동판매기영업 [ ]옹기류제조업</w:t>
            </w:r>
          </w:p>
          <w:p>
            <w:pPr>
              <w:spacing w:after="0" w:before="0" w:line="240" w:lineRule="auto"/>
              <w:jc w:val="left"/>
            </w:pPr>
            <w:r>
              <w:rPr>
                <w:rFonts w:ascii="Malgun Gothic" w:hAnsi="Malgun Gothic" w:eastAsia="Malgun Gothic" w:cs="Malgun Gothic"/>
                <w:b w:val="0"/>
                <w:sz w:val="17"/>
              </w:rPr>
              <w:t>[ ]유통전문판매업    [ ]휴게음식점영업</w:t>
            </w:r>
          </w:p>
        </w:tc>
        <w:tc>
          <w:tcPr>
            <w:tcW w:type="dxa" w:w="538"/>
            <w:tcBorders>
              <w:top w:val="nil"/>
              <w:left w:val="nil"/>
              <w:bottom w:val="nil"/>
              <w:right w:val="nil"/>
            </w:tcBorders>
          </w:tcPr>
          <w:p>
            <w:pPr>
              <w:spacing w:before="0" w:after="0" w:line="20" w:lineRule="exact"/>
              <w:rPr>
                <w:sz w:val="2"/>
              </w:rPr>
            </w:pPr>
          </w:p>
        </w:tc>
      </w:tr>
      <w:tr>
        <w:trPr>
          <w:trHeight w:val="1552" w:hRule="atLeast"/>
        </w:trPr>
        <w:tc>
          <w:tcPr>
            <w:tcW w:type="dxa" w:w="514"/>
            <w:tcBorders>
              <w:top w:val="nil"/>
              <w:left w:val="nil"/>
              <w:bottom w:val="nil"/>
              <w:right w:val="nil"/>
            </w:tcBorders>
          </w:tcPr>
          <w:p>
            <w:pPr>
              <w:spacing w:before="0" w:after="0" w:line="20" w:lineRule="exact"/>
              <w:rPr>
                <w:sz w:val="2"/>
              </w:rPr>
            </w:pPr>
          </w:p>
        </w:tc>
        <w:tc>
          <w:tcPr>
            <w:tcW w:type="dxa" w:w="1020"/>
            <w:vMerge/>
          </w:tcPr>
          <w:p/>
        </w:tc>
        <w:tc>
          <w:tcPr>
            <w:tcW w:type="dxa" w:w="779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영업장의 면적: 건물 내부 장소 [ ㎡] 건물 외부 장소 [ ㎡]</w:t>
            </w:r>
          </w:p>
          <w:p>
            <w:pPr>
              <w:spacing w:after="0" w:before="0" w:line="240" w:lineRule="auto"/>
              <w:jc w:val="left"/>
            </w:pPr>
            <w:r>
              <w:rPr>
                <w:rFonts w:ascii="Malgun Gothic" w:hAnsi="Malgun Gothic" w:eastAsia="Malgun Gothic" w:cs="Malgun Gothic"/>
                <w:b w:val="0"/>
                <w:sz w:val="15"/>
              </w:rPr>
              <w:t>영업장의 소재지:</w:t>
            </w:r>
          </w:p>
          <w:p>
            <w:pPr>
              <w:spacing w:after="0" w:before="0" w:line="240" w:lineRule="auto"/>
              <w:jc w:val="left"/>
            </w:pPr>
            <w:r>
              <w:rPr>
                <w:rFonts w:ascii="Malgun Gothic" w:hAnsi="Malgun Gothic" w:eastAsia="Malgun Gothic" w:cs="Malgun Gothic"/>
                <w:b w:val="0"/>
                <w:sz w:val="15"/>
              </w:rPr>
              <w:t>※ 건물 외부 장소의 면적은 「식품위생법 시행령」 제21조제8호가목의 휴게음식점영업, 같은 호 나목 의 일반음식점영업 또는 같은 호 바목의 제과점영업을 하려는 자가 해당 외부 장소에서 음식류 등을 제공하는 경우만 적습니다.</w:t>
            </w:r>
          </w:p>
          <w:p>
            <w:pPr>
              <w:spacing w:after="0" w:before="0" w:line="240" w:lineRule="auto"/>
              <w:jc w:val="left"/>
            </w:pPr>
            <w:r>
              <w:rPr>
                <w:rFonts w:ascii="Malgun Gothic" w:hAnsi="Malgun Gothic" w:eastAsia="Malgun Gothic" w:cs="Malgun Gothic"/>
                <w:b w:val="0"/>
                <w:sz w:val="15"/>
              </w:rPr>
              <w:t>※ 음식판매자동차를 사용하여 휴게음식점영업, 일반음식점영업 또는 제과점영업을 하려는 경우에는 그 영업장 면적을 해당 음식판매자동차의 자동차등록번호와 함께 건물 내부 장소에 적고, 해당 영업 소의 소재지를 적습니다.</w:t>
            </w:r>
          </w:p>
        </w:tc>
        <w:tc>
          <w:tcPr>
            <w:tcW w:type="dxa" w:w="538"/>
            <w:tcBorders>
              <w:top w:val="nil"/>
              <w:left w:val="nil"/>
              <w:bottom w:val="nil"/>
              <w:right w:val="nil"/>
            </w:tcBorders>
          </w:tcPr>
          <w:p>
            <w:pPr>
              <w:spacing w:before="0" w:after="0" w:line="20" w:lineRule="exact"/>
              <w:rPr>
                <w:sz w:val="2"/>
              </w:rPr>
            </w:pPr>
          </w:p>
        </w:tc>
      </w:tr>
      <w:tr>
        <w:trPr>
          <w:trHeight w:val="812" w:hRule="atLeast"/>
        </w:trPr>
        <w:tc>
          <w:tcPr>
            <w:tcW w:type="dxa" w:w="514"/>
            <w:tcBorders>
              <w:top w:val="nil"/>
              <w:left w:val="nil"/>
              <w:bottom w:val="nil"/>
              <w:right w:val="nil"/>
            </w:tcBorders>
          </w:tcPr>
          <w:p>
            <w:pPr>
              <w:spacing w:before="0" w:after="0" w:line="20" w:lineRule="exact"/>
              <w:rPr>
                <w:sz w:val="2"/>
              </w:rPr>
            </w:pPr>
          </w:p>
        </w:tc>
        <w:tc>
          <w:tcPr>
            <w:tcW w:type="dxa" w:w="1020"/>
            <w:vMerge/>
          </w:tcPr>
          <w:p/>
        </w:tc>
        <w:tc>
          <w:tcPr>
            <w:tcW w:type="dxa" w:w="779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식품용수의 종류 [ ] 수돗물 [ ] 먹는샘물 [ ] 먹는염지하수</w:t>
            </w:r>
          </w:p>
          <w:p>
            <w:pPr>
              <w:spacing w:after="0" w:before="0" w:line="240" w:lineRule="auto"/>
              <w:jc w:val="center"/>
            </w:pPr>
            <w:r>
              <w:rPr>
                <w:rFonts w:ascii="Malgun Gothic" w:hAnsi="Malgun Gothic" w:eastAsia="Malgun Gothic" w:cs="Malgun Gothic"/>
                <w:b w:val="0"/>
                <w:sz w:val="17"/>
              </w:rPr>
              <w:t>[ ] 지하수(먹는샘물 및 먹는염지하수는 제외합니다)</w:t>
            </w:r>
          </w:p>
          <w:p>
            <w:pPr>
              <w:spacing w:after="0" w:before="0" w:line="240" w:lineRule="auto"/>
              <w:jc w:val="center"/>
            </w:pPr>
            <w:r>
              <w:rPr>
                <w:rFonts w:ascii="Malgun Gothic" w:hAnsi="Malgun Gothic" w:eastAsia="Malgun Gothic" w:cs="Malgun Gothic"/>
                <w:b w:val="0"/>
                <w:sz w:val="17"/>
              </w:rPr>
              <w:t>[ ] 먹는해양심층수     [ ] 그 밖의 먹는물</w:t>
            </w:r>
          </w:p>
          <w:p>
            <w:pPr>
              <w:spacing w:after="0" w:before="0" w:line="240" w:lineRule="auto"/>
              <w:jc w:val="right"/>
            </w:pPr>
            <w:r>
              <w:rPr>
                <w:rFonts w:ascii="Malgun Gothic" w:hAnsi="Malgun Gothic" w:eastAsia="Malgun Gothic" w:cs="Malgun Gothic"/>
                <w:b w:val="0"/>
                <w:sz w:val="17"/>
              </w:rPr>
              <w:t>* 식품용수를 2개 이상 사용하는 경우에는 중복 표기가 가능합니다.</w:t>
            </w:r>
          </w:p>
        </w:tc>
        <w:tc>
          <w:tcPr>
            <w:tcW w:type="dxa" w:w="538"/>
            <w:tcBorders>
              <w:top w:val="nil"/>
              <w:left w:val="nil"/>
              <w:bottom w:val="nil"/>
              <w:right w:val="nil"/>
            </w:tcBorders>
          </w:tcPr>
          <w:p>
            <w:pPr>
              <w:spacing w:before="0" w:after="0" w:line="20" w:lineRule="exact"/>
              <w:rPr>
                <w:sz w:val="2"/>
              </w:rPr>
            </w:pPr>
          </w:p>
        </w:tc>
      </w:tr>
      <w:tr>
        <w:trPr>
          <w:trHeight w:val="256" w:hRule="atLeast"/>
        </w:trPr>
        <w:tc>
          <w:tcPr>
            <w:tcW w:type="dxa" w:w="514"/>
            <w:tcBorders>
              <w:top w:val="nil"/>
              <w:left w:val="nil"/>
              <w:bottom w:val="nil"/>
              <w:right w:val="nil"/>
            </w:tcBorders>
          </w:tcPr>
          <w:p>
            <w:pPr>
              <w:spacing w:before="0" w:after="0" w:line="20" w:lineRule="exact"/>
              <w:rPr>
                <w:sz w:val="2"/>
              </w:rPr>
            </w:pPr>
          </w:p>
        </w:tc>
        <w:tc>
          <w:tcPr>
            <w:tcW w:type="dxa" w:w="1020"/>
            <w:vMerge/>
          </w:tcPr>
          <w:p/>
        </w:tc>
        <w:tc>
          <w:tcPr>
            <w:tcW w:type="dxa" w:w="779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공유주방의 사용 여부 [ ] 해당 [ ] 미해당</w:t>
            </w:r>
          </w:p>
        </w:tc>
        <w:tc>
          <w:tcPr>
            <w:tcW w:type="dxa" w:w="538"/>
            <w:tcBorders>
              <w:top w:val="nil"/>
              <w:left w:val="nil"/>
              <w:bottom w:val="nil"/>
              <w:right w:val="nil"/>
            </w:tcBorders>
          </w:tcPr>
          <w:p>
            <w:pPr>
              <w:spacing w:before="0" w:after="0" w:line="20" w:lineRule="exact"/>
              <w:rPr>
                <w:sz w:val="2"/>
              </w:rPr>
            </w:pPr>
          </w:p>
        </w:tc>
      </w:tr>
      <w:tr>
        <w:trPr>
          <w:trHeight w:val="442" w:hRule="atLeast"/>
        </w:trPr>
        <w:tc>
          <w:tcPr>
            <w:tcW w:type="dxa" w:w="514"/>
            <w:tcBorders>
              <w:top w:val="nil"/>
              <w:left w:val="nil"/>
              <w:bottom w:val="nil"/>
              <w:right w:val="nil"/>
            </w:tcBorders>
          </w:tcPr>
          <w:p>
            <w:pPr>
              <w:spacing w:before="0" w:after="0" w:line="20" w:lineRule="exact"/>
              <w:rPr>
                <w:sz w:val="2"/>
              </w:rPr>
            </w:pPr>
          </w:p>
        </w:tc>
        <w:tc>
          <w:tcPr>
            <w:tcW w:type="dxa" w:w="1020"/>
            <w:vMerge/>
          </w:tcPr>
          <w:p/>
        </w:tc>
        <w:tc>
          <w:tcPr>
            <w:tcW w:type="dxa" w:w="779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공동조리장 이용 여부 [ ] 해당 [ ] 미해당</w:t>
            </w:r>
          </w:p>
          <w:p>
            <w:pPr>
              <w:spacing w:after="0" w:before="0" w:line="240" w:lineRule="auto"/>
              <w:jc w:val="left"/>
            </w:pPr>
            <w:r>
              <w:rPr>
                <w:rFonts w:ascii="Malgun Gothic" w:hAnsi="Malgun Gothic" w:eastAsia="Malgun Gothic" w:cs="Malgun Gothic"/>
                <w:b w:val="0"/>
                <w:sz w:val="17"/>
              </w:rPr>
              <w:t>공동조리장을 함께 이용하는 영업장의 업소명, 영업의 종류 및 소재지:</w:t>
            </w:r>
          </w:p>
        </w:tc>
        <w:tc>
          <w:tcPr>
            <w:tcW w:type="dxa" w:w="538"/>
            <w:tcBorders>
              <w:top w:val="nil"/>
              <w:left w:val="nil"/>
              <w:bottom w:val="nil"/>
              <w:right w:val="nil"/>
            </w:tcBorders>
          </w:tcPr>
          <w:p>
            <w:pPr>
              <w:spacing w:before="0" w:after="0" w:line="20" w:lineRule="exact"/>
              <w:rPr>
                <w:sz w:val="2"/>
              </w:rPr>
            </w:pPr>
          </w:p>
        </w:tc>
      </w:tr>
      <w:tr>
        <w:trPr>
          <w:trHeight w:val="256" w:hRule="atLeast"/>
        </w:trPr>
        <w:tc>
          <w:tcPr>
            <w:tcW w:type="dxa" w:w="514"/>
            <w:tcBorders>
              <w:top w:val="nil"/>
              <w:left w:val="nil"/>
              <w:bottom w:val="nil"/>
              <w:right w:val="nil"/>
            </w:tcBorders>
          </w:tcPr>
          <w:p>
            <w:pPr>
              <w:spacing w:before="0" w:after="0" w:line="20" w:lineRule="exact"/>
              <w:rPr>
                <w:sz w:val="2"/>
              </w:rPr>
            </w:pPr>
          </w:p>
        </w:tc>
        <w:tc>
          <w:tcPr>
            <w:tcW w:type="dxa" w:w="1020"/>
            <w:vMerge/>
          </w:tcPr>
          <w:p/>
        </w:tc>
        <w:tc>
          <w:tcPr>
            <w:tcW w:type="dxa" w:w="779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식품자동판매기의 자동적인 혼합ㆍ처리 기능 여부 [ ] 해당 [ ] 미해당</w:t>
            </w:r>
          </w:p>
        </w:tc>
        <w:tc>
          <w:tcPr>
            <w:tcW w:type="dxa" w:w="538"/>
            <w:tcBorders>
              <w:top w:val="nil"/>
              <w:left w:val="nil"/>
              <w:bottom w:val="nil"/>
              <w:right w:val="nil"/>
            </w:tcBorders>
          </w:tcPr>
          <w:p>
            <w:pPr>
              <w:spacing w:before="0" w:after="0" w:line="20" w:lineRule="exact"/>
              <w:rPr>
                <w:sz w:val="2"/>
              </w:rPr>
            </w:pPr>
          </w:p>
        </w:tc>
      </w:tr>
      <w:tr>
        <w:trPr>
          <w:trHeight w:val="256" w:hRule="atLeast"/>
        </w:trPr>
        <w:tc>
          <w:tcPr>
            <w:tcW w:type="dxa" w:w="514"/>
            <w:tcBorders>
              <w:top w:val="nil"/>
              <w:left w:val="nil"/>
              <w:bottom w:val="nil"/>
              <w:right w:val="nil"/>
            </w:tcBorders>
          </w:tcPr>
          <w:p>
            <w:pPr>
              <w:spacing w:before="0" w:after="0" w:line="20" w:lineRule="exact"/>
              <w:rPr>
                <w:sz w:val="2"/>
              </w:rPr>
            </w:pPr>
          </w:p>
        </w:tc>
        <w:tc>
          <w:tcPr>
            <w:tcW w:type="dxa" w:w="1020"/>
            <w:vMerge/>
          </w:tcPr>
          <w:p/>
        </w:tc>
        <w:tc>
          <w:tcPr>
            <w:tcW w:type="dxa" w:w="779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7"/>
              </w:rPr>
              <w:t>반려동물(개, 고양이로 한정한다) 출입 여부 [ ] 해당 [ ] 미해당</w:t>
            </w:r>
          </w:p>
        </w:tc>
        <w:tc>
          <w:tcPr>
            <w:tcW w:type="dxa" w:w="538"/>
            <w:tcBorders>
              <w:top w:val="nil"/>
              <w:left w:val="nil"/>
              <w:bottom w:val="nil"/>
              <w:right w:val="nil"/>
            </w:tcBorders>
          </w:tcPr>
          <w:p>
            <w:pPr>
              <w:spacing w:before="0" w:after="0" w:line="20" w:lineRule="exact"/>
              <w:rPr>
                <w:sz w:val="2"/>
              </w:rPr>
            </w:pPr>
          </w:p>
        </w:tc>
      </w:tr>
      <w:tr>
        <w:trPr>
          <w:trHeight w:val="1091" w:hRule="atLeast"/>
        </w:trPr>
        <w:tc>
          <w:tcPr>
            <w:tcW w:type="dxa" w:w="514"/>
            <w:tcBorders>
              <w:top w:val="nil"/>
              <w:left w:val="nil"/>
              <w:bottom w:val="nil"/>
              <w:right w:val="nil"/>
            </w:tcBorders>
          </w:tcPr>
          <w:p>
            <w:pPr>
              <w:spacing w:before="0" w:after="0" w:line="20" w:lineRule="exact"/>
              <w:rPr>
                <w:sz w:val="2"/>
              </w:rPr>
            </w:pPr>
          </w:p>
        </w:tc>
        <w:tc>
          <w:tcPr>
            <w:tcW w:type="dxa" w:w="8813"/>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6"/>
              </w:rPr>
              <w:t>「식품위생법」 제37조제4항 및 같은 법 시행규칙 제42조제1항에 따라 위와 같이 영업을 신고합니다. 년   월   일</w:t>
            </w:r>
          </w:p>
          <w:p>
            <w:pPr>
              <w:spacing w:after="0" w:before="0" w:line="240" w:lineRule="auto"/>
              <w:jc w:val="right"/>
            </w:pPr>
            <w:r>
              <w:rPr>
                <w:rFonts w:ascii="Malgun Gothic" w:hAnsi="Malgun Gothic" w:eastAsia="Malgun Gothic" w:cs="Malgun Gothic"/>
                <w:b w:val="0"/>
                <w:sz w:val="16"/>
              </w:rPr>
              <w:t>신고인            (서명 또는 인)</w:t>
            </w:r>
          </w:p>
          <w:p>
            <w:pPr>
              <w:spacing w:after="0" w:before="0" w:line="240" w:lineRule="auto"/>
              <w:jc w:val="left"/>
            </w:pPr>
            <w:r>
              <w:rPr>
                <w:rFonts w:ascii="Malgun Gothic" w:hAnsi="Malgun Gothic" w:eastAsia="Malgun Gothic" w:cs="Malgun Gothic"/>
                <w:b w:val="0"/>
                <w:sz w:val="16"/>
              </w:rPr>
              <w:t>특별자치시장ㆍ특별자치도지사ㆍ시장ㆍ군수ㆍ구청장 귀하</w:t>
            </w:r>
          </w:p>
        </w:tc>
        <w:tc>
          <w:tcPr>
            <w:tcW w:type="dxa" w:w="538"/>
            <w:tcBorders>
              <w:top w:val="nil"/>
              <w:left w:val="nil"/>
              <w:bottom w:val="nil"/>
              <w:right w:val="nil"/>
            </w:tcBorders>
          </w:tcPr>
          <w:p>
            <w:pPr>
              <w:spacing w:before="0" w:after="0" w:line="20" w:lineRule="exact"/>
              <w:rPr>
                <w:sz w:val="2"/>
              </w:rPr>
            </w:pP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513"/>
        <w:gridCol w:w="8814"/>
        <w:gridCol w:w="537"/>
      </w:tblGrid>
      <w:tr>
        <w:trPr>
          <w:trHeight w:val="216" w:hRule="atLeast"/>
        </w:trPr>
        <w:tc>
          <w:tcPr>
            <w:tcW w:type="dxa" w:w="514"/>
            <w:tcBorders>
              <w:top w:val="nil"/>
              <w:left w:val="nil"/>
              <w:bottom w:val="nil"/>
              <w:right w:val="nil"/>
            </w:tcBorders>
          </w:tcPr>
          <w:p>
            <w:pPr>
              <w:spacing w:before="0" w:after="0" w:line="20" w:lineRule="exact"/>
              <w:rPr>
                <w:sz w:val="2"/>
              </w:rPr>
            </w:pPr>
          </w:p>
        </w:tc>
        <w:tc>
          <w:tcPr>
            <w:tcW w:type="dxa" w:w="881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행정정보 공동이용 동의서</w:t>
            </w:r>
          </w:p>
        </w:tc>
        <w:tc>
          <w:tcPr>
            <w:tcW w:type="dxa" w:w="538"/>
            <w:tcBorders>
              <w:top w:val="nil"/>
              <w:left w:val="nil"/>
              <w:bottom w:val="nil"/>
              <w:right w:val="nil"/>
            </w:tcBorders>
          </w:tcPr>
          <w:p>
            <w:pPr>
              <w:spacing w:before="0" w:after="0" w:line="20" w:lineRule="exact"/>
              <w:rPr>
                <w:sz w:val="2"/>
              </w:rPr>
            </w:pPr>
          </w:p>
        </w:tc>
      </w:tr>
      <w:tr>
        <w:trPr>
          <w:trHeight w:val="636" w:hRule="atLeast"/>
        </w:trPr>
        <w:tc>
          <w:tcPr>
            <w:tcW w:type="dxa" w:w="514"/>
            <w:tcBorders>
              <w:top w:val="nil"/>
              <w:left w:val="nil"/>
              <w:bottom w:val="nil"/>
              <w:right w:val="nil"/>
            </w:tcBorders>
          </w:tcPr>
          <w:p>
            <w:pPr>
              <w:spacing w:before="0" w:after="0" w:line="20" w:lineRule="exact"/>
              <w:rPr>
                <w:sz w:val="2"/>
              </w:rPr>
            </w:pPr>
          </w:p>
        </w:tc>
        <w:tc>
          <w:tcPr>
            <w:tcW w:type="dxa" w:w="881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본인은 이 건 업무처리와 관련하여 담당 공무원이 「전자정부법」 제36조제1항에 따른 행정정보의 공동이용을 통하여 담당 공무원 확인사항을 확인하는 것에 동의합니다. * 동의하지 아니하는 경우에는 신청인이 직접 관련 서류를 제출하여야 합니다. 신고인(대표자)            (서명 또는 인)</w:t>
            </w:r>
          </w:p>
        </w:tc>
        <w:tc>
          <w:tcPr>
            <w:tcW w:type="dxa" w:w="538"/>
            <w:tcBorders>
              <w:top w:val="nil"/>
              <w:left w:val="nil"/>
              <w:bottom w:val="nil"/>
              <w:right w:val="nil"/>
            </w:tcBorders>
          </w:tcPr>
          <w:p>
            <w:pPr>
              <w:spacing w:before="0" w:after="0" w:line="20" w:lineRule="exact"/>
              <w:rPr>
                <w:sz w:val="2"/>
              </w:rPr>
            </w:pPr>
          </w:p>
        </w:tc>
      </w:tr>
      <w:tr>
        <w:trPr>
          <w:trHeight w:val="224" w:hRule="atLeast"/>
        </w:trPr>
        <w:tc>
          <w:tcPr>
            <w:tcW w:type="dxa" w:w="514"/>
            <w:tcBorders>
              <w:top w:val="nil"/>
              <w:left w:val="nil"/>
              <w:bottom w:val="nil"/>
              <w:right w:val="nil"/>
            </w:tcBorders>
          </w:tcPr>
          <w:p>
            <w:pPr>
              <w:spacing w:before="0" w:after="0" w:line="20" w:lineRule="exact"/>
              <w:rPr>
                <w:sz w:val="2"/>
              </w:rPr>
            </w:pPr>
          </w:p>
        </w:tc>
        <w:tc>
          <w:tcPr>
            <w:tcW w:type="dxa" w:w="881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신 고 안 내</w:t>
            </w:r>
          </w:p>
        </w:tc>
        <w:tc>
          <w:tcPr>
            <w:tcW w:type="dxa" w:w="538"/>
            <w:tcBorders>
              <w:top w:val="nil"/>
              <w:left w:val="nil"/>
              <w:bottom w:val="nil"/>
              <w:right w:val="nil"/>
            </w:tcBorders>
          </w:tcPr>
          <w:p>
            <w:pPr>
              <w:spacing w:before="0" w:after="0" w:line="20" w:lineRule="exact"/>
              <w:rPr>
                <w:sz w:val="2"/>
              </w:rPr>
            </w:pPr>
          </w:p>
        </w:tc>
      </w:tr>
      <w:tr>
        <w:trPr>
          <w:trHeight w:val="849" w:hRule="atLeast"/>
        </w:trPr>
        <w:tc>
          <w:tcPr>
            <w:tcW w:type="dxa" w:w="514"/>
            <w:tcBorders>
              <w:top w:val="nil"/>
              <w:left w:val="nil"/>
              <w:bottom w:val="nil"/>
              <w:right w:val="nil"/>
            </w:tcBorders>
          </w:tcPr>
          <w:p>
            <w:pPr>
              <w:spacing w:before="0" w:after="0" w:line="20" w:lineRule="exact"/>
              <w:rPr>
                <w:sz w:val="2"/>
              </w:rPr>
            </w:pPr>
          </w:p>
        </w:tc>
        <w:tc>
          <w:tcPr>
            <w:tcW w:type="dxa" w:w="881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&lt;특별자치시장ㆍ특별자치도지사ㆍ시장ㆍ군수ㆍ구청장에게 신고를 하여야 하는 업종&gt;</w:t>
            </w:r>
          </w:p>
          <w:p>
            <w:pPr>
              <w:spacing w:after="0" w:before="0" w:line="240" w:lineRule="auto"/>
              <w:jc w:val="left"/>
            </w:pPr>
            <w:r>
              <w:rPr>
                <w:rFonts w:ascii="Malgun Gothic" w:hAnsi="Malgun Gothic" w:eastAsia="Malgun Gothic" w:cs="Malgun Gothic"/>
                <w:b w:val="0"/>
                <w:sz w:val="13"/>
              </w:rPr>
              <w:t>1. 즉석판매제조ㆍ가공업 2. 식품운반업 3. 식품소분업 4. 식용얼음판매업 5. 식품자동판매기영업 6. 유통전문판매업 7. 집단급식소 식품판매업 8. 기타식품판매업 9. 식품냉동ㆍ냉장업 10. 용기ㆍ포장류제조업(자신의 제품을 포장하기 위하여 용기ㆍ포장류를 제조하는 경우는 제외) 11. 옹기류제조업 12. 휴게음식점영업 13. 일반음식점영업 14. 위탁급식영업 15. 제과점영업</w:t>
            </w:r>
          </w:p>
        </w:tc>
        <w:tc>
          <w:tcPr>
            <w:tcW w:type="dxa" w:w="538"/>
            <w:tcBorders>
              <w:top w:val="nil"/>
              <w:left w:val="nil"/>
              <w:bottom w:val="nil"/>
              <w:right w:val="nil"/>
            </w:tcBorders>
          </w:tcPr>
          <w:p>
            <w:pPr>
              <w:spacing w:before="0" w:after="0" w:line="20" w:lineRule="exact"/>
              <w:rPr>
                <w:sz w:val="2"/>
              </w:rPr>
            </w:pPr>
          </w:p>
        </w:tc>
      </w:tr>
      <w:tr>
        <w:trPr>
          <w:trHeight w:val="234" w:hRule="atLeast"/>
        </w:trPr>
        <w:tc>
          <w:tcPr>
            <w:tcW w:type="dxa" w:w="514"/>
            <w:tcBorders>
              <w:top w:val="nil"/>
              <w:left w:val="nil"/>
              <w:bottom w:val="nil"/>
              <w:right w:val="nil"/>
            </w:tcBorders>
          </w:tcPr>
          <w:p>
            <w:pPr>
              <w:spacing w:before="0" w:after="0" w:line="20" w:lineRule="exact"/>
              <w:rPr>
                <w:sz w:val="2"/>
              </w:rPr>
            </w:pPr>
          </w:p>
        </w:tc>
        <w:tc>
          <w:tcPr>
            <w:tcW w:type="dxa" w:w="881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유 의 사 항</w:t>
            </w:r>
          </w:p>
        </w:tc>
        <w:tc>
          <w:tcPr>
            <w:tcW w:type="dxa" w:w="538"/>
            <w:tcBorders>
              <w:top w:val="nil"/>
              <w:left w:val="nil"/>
              <w:bottom w:val="nil"/>
              <w:right w:val="nil"/>
            </w:tcBorders>
          </w:tcPr>
          <w:p>
            <w:pPr>
              <w:spacing w:before="0" w:after="0" w:line="20" w:lineRule="exact"/>
              <w:rPr>
                <w:sz w:val="2"/>
              </w:rPr>
            </w:pPr>
          </w:p>
        </w:tc>
      </w:tr>
      <w:tr>
        <w:trPr>
          <w:trHeight w:val="1799" w:hRule="atLeast"/>
        </w:trPr>
        <w:tc>
          <w:tcPr>
            <w:tcW w:type="dxa" w:w="514"/>
            <w:tcBorders>
              <w:top w:val="nil"/>
              <w:left w:val="nil"/>
              <w:bottom w:val="nil"/>
              <w:right w:val="nil"/>
            </w:tcBorders>
          </w:tcPr>
          <w:p>
            <w:pPr>
              <w:spacing w:before="0" w:after="0" w:line="20" w:lineRule="exact"/>
              <w:rPr>
                <w:sz w:val="2"/>
              </w:rPr>
            </w:pPr>
          </w:p>
        </w:tc>
        <w:tc>
          <w:tcPr>
            <w:tcW w:type="dxa" w:w="881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1. 신고한 영업을 폐업하는 때에도 신고를 하여야 합니다.</w:t>
            </w:r>
          </w:p>
          <w:p>
            <w:pPr>
              <w:spacing w:after="0" w:before="0" w:line="240" w:lineRule="auto"/>
              <w:jc w:val="left"/>
            </w:pPr>
            <w:r>
              <w:rPr>
                <w:rFonts w:ascii="Malgun Gothic" w:hAnsi="Malgun Gothic" w:eastAsia="Malgun Gothic" w:cs="Malgun Gothic"/>
                <w:b w:val="0"/>
                <w:sz w:val="13"/>
              </w:rPr>
              <w:t>2. 신고를 하여야 하는 업종을 신고를 하지 아니하고 영업을 하는 경우에는 「식품위생법」 제97조제1호에 따라 3년 이하의 징역 또는 3천만원 이하의 벌금을 부과하게 됩니다.</w:t>
            </w:r>
          </w:p>
          <w:p>
            <w:pPr>
              <w:spacing w:after="0" w:before="0" w:line="240" w:lineRule="auto"/>
              <w:jc w:val="left"/>
            </w:pPr>
            <w:r>
              <w:rPr>
                <w:rFonts w:ascii="Malgun Gothic" w:hAnsi="Malgun Gothic" w:eastAsia="Malgun Gothic" w:cs="Malgun Gothic"/>
                <w:b w:val="0"/>
                <w:sz w:val="13"/>
              </w:rPr>
              <w:t>3. 영업신고를 하려는 자는 「식품위생법 시행규칙」 제42조에서 정한 사항 외에 해당 영업신고와 관련된 다음 법령에 위반되거 나 저촉되는지 여부를 검토하여야 합니다.</w:t>
            </w:r>
          </w:p>
          <w:p>
            <w:pPr>
              <w:spacing w:after="0" w:before="0" w:line="240" w:lineRule="auto"/>
              <w:jc w:val="left"/>
            </w:pPr>
            <w:r>
              <w:rPr>
                <w:rFonts w:ascii="Malgun Gothic" w:hAnsi="Malgun Gothic" w:eastAsia="Malgun Gothic" w:cs="Malgun Gothic"/>
                <w:b w:val="0"/>
                <w:sz w:val="13"/>
              </w:rPr>
              <w:t>- 「국토의 계획 및 이용에 관한 법률」, 「하수도법」, 「농지법」, 「학교보건법」, 「옥외광고물 등의 관리와 옥외광고산업 진흥에 관한 법률」, 「하천법」, 「한강수계 상수원수질개선 및 주민지원 등에 관한 법률」, 「물환경보전법」, 「소음ㆍ진 동관리법」, 「관광진흥법」, 「학원의 설립ㆍ운영 및 과외교습에 관한 법률」, 「청소년 보호법」, 「근로기준법」, 「산업집 적활성화 및 공장설립에 관한 법률」, 「주차장법」, 「지방세법」 등 그 밖의 관련 법령</w:t>
            </w:r>
          </w:p>
          <w:p>
            <w:pPr>
              <w:spacing w:after="0" w:before="0" w:line="240" w:lineRule="auto"/>
              <w:jc w:val="left"/>
            </w:pPr>
            <w:r>
              <w:rPr>
                <w:rFonts w:ascii="Malgun Gothic" w:hAnsi="Malgun Gothic" w:eastAsia="Malgun Gothic" w:cs="Malgun Gothic"/>
                <w:b w:val="0"/>
                <w:sz w:val="13"/>
              </w:rPr>
              <w:t>4. 「식품위생법 시행규칙」별표 14 제8호가목2)라)에 따라 공동조리장을 사용하는 경우에는 공동으로 사용하는 조리장의 면적을 포함하여 신고하여야 합니다.</w:t>
            </w:r>
          </w:p>
        </w:tc>
        <w:tc>
          <w:tcPr>
            <w:tcW w:type="dxa" w:w="538"/>
            <w:tcBorders>
              <w:top w:val="nil"/>
              <w:left w:val="nil"/>
              <w:bottom w:val="nil"/>
              <w:right w:val="nil"/>
            </w:tcBorders>
          </w:tcPr>
          <w:p>
            <w:pPr>
              <w:spacing w:before="0" w:after="0" w:line="20" w:lineRule="exact"/>
              <w:rPr>
                <w:sz w:val="2"/>
              </w:rPr>
            </w:pPr>
          </w:p>
        </w:tc>
      </w:tr>
    </w:tbl>
    <w:p>
      <w:pPr>
        <w:spacing w:before="0" w:after="0" w:line="20" w:lineRule="exact"/>
        <w:rPr>
          <w:sz w:val="2"/>
        </w:rPr>
      </w:pPr>
    </w:p>
    <w:p>
      <w:r>
        <w:br w:type="page"/>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817"/>
        <w:gridCol w:w="6982"/>
        <w:gridCol w:w="686"/>
        <w:gridCol w:w="686"/>
        <w:gridCol w:w="694"/>
      </w:tblGrid>
      <w:tr>
        <w:trPr>
          <w:trHeight w:val="519" w:hRule="atLeast"/>
        </w:trPr>
        <w:tc>
          <w:tcPr>
            <w:tcW w:type="dxa" w:w="817"/>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제출서류</w:t>
            </w:r>
          </w:p>
        </w:tc>
        <w:tc>
          <w:tcPr>
            <w:tcW w:type="dxa" w:w="698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1. 교육이수증 1부(「식품위생법」 제41조제2항에 따라 미리 교육을 받은 경우만 해당합니다)</w:t>
            </w:r>
          </w:p>
          <w:p>
            <w:pPr>
              <w:spacing w:after="0" w:before="0" w:line="240" w:lineRule="auto"/>
              <w:jc w:val="left"/>
            </w:pPr>
            <w:r>
              <w:rPr>
                <w:rFonts w:ascii="Malgun Gothic" w:hAnsi="Malgun Gothic" w:eastAsia="Malgun Gothic" w:cs="Malgun Gothic"/>
                <w:b w:val="0"/>
                <w:sz w:val="13"/>
              </w:rPr>
              <w:t>2. 제조ㆍ가공하려는 식품의 유형 및 제조방법 설명서 1부(「식품위생법 시행령」 제21조제2호의 영업만 해당합니다)</w:t>
            </w:r>
          </w:p>
          <w:p>
            <w:pPr>
              <w:spacing w:after="0" w:before="0" w:line="240" w:lineRule="auto"/>
              <w:jc w:val="left"/>
            </w:pPr>
            <w:r>
              <w:rPr>
                <w:rFonts w:ascii="Malgun Gothic" w:hAnsi="Malgun Gothic" w:eastAsia="Malgun Gothic" w:cs="Malgun Gothic"/>
                <w:b w:val="0"/>
                <w:sz w:val="13"/>
              </w:rPr>
              <w:t>3. 시설사용계약서 1부(식품운반업을 하려는 경우로서 차고 또는 세차장을 임대할 경우만 해당합니다)</w:t>
            </w:r>
          </w:p>
          <w:p>
            <w:pPr>
              <w:spacing w:after="0" w:before="0" w:line="240" w:lineRule="auto"/>
              <w:jc w:val="left"/>
            </w:pPr>
            <w:r>
              <w:rPr>
                <w:rFonts w:ascii="Malgun Gothic" w:hAnsi="Malgun Gothic" w:eastAsia="Malgun Gothic" w:cs="Malgun Gothic"/>
                <w:b w:val="0"/>
                <w:sz w:val="13"/>
              </w:rPr>
              <w:t>4. 「먹는물관리법」에 따른 먹는물 수질검사기관이 발행한 수질검사(시험)성적서 1부(수돗물이 아닌 지하수 등을 먹는 물 또는 식품등의 제조과정이나 식품의 조리ㆍ세척 등에 사용하는 경우만 해당합니</w:t>
            </w:r>
          </w:p>
          <w:p>
            <w:pPr>
              <w:spacing w:after="0" w:before="0" w:line="240" w:lineRule="auto"/>
              <w:jc w:val="left"/>
            </w:pPr>
            <w:r>
              <w:rPr>
                <w:rFonts w:ascii="Malgun Gothic" w:hAnsi="Malgun Gothic" w:eastAsia="Malgun Gothic" w:cs="Malgun Gothic"/>
                <w:b w:val="0"/>
                <w:sz w:val="13"/>
              </w:rPr>
              <w:t>다)</w:t>
            </w:r>
          </w:p>
          <w:p>
            <w:pPr>
              <w:spacing w:after="0" w:before="0" w:line="240" w:lineRule="auto"/>
              <w:jc w:val="left"/>
            </w:pPr>
            <w:r>
              <w:rPr>
                <w:rFonts w:ascii="Malgun Gothic" w:hAnsi="Malgun Gothic" w:eastAsia="Malgun Gothic" w:cs="Malgun Gothic"/>
                <w:b w:val="0"/>
                <w:sz w:val="13"/>
              </w:rPr>
              <w:t>5. 유선 또는 도선사업 면허증 또는 신고필증 1부(수상구조물로 된 유선장 또는 도선장에 「식품위생법 시행령」 제21조제8호가목의 휴게음식점영업, 같은 호 나목의 일반음식점영업 및 같은 호 바목의 제과점영업을 하려는 경우만 해당합니다)</w:t>
            </w:r>
          </w:p>
          <w:p>
            <w:pPr>
              <w:spacing w:after="0" w:before="0" w:line="240" w:lineRule="auto"/>
              <w:jc w:val="left"/>
            </w:pPr>
            <w:r>
              <w:rPr>
                <w:rFonts w:ascii="Malgun Gothic" w:hAnsi="Malgun Gothic" w:eastAsia="Malgun Gothic" w:cs="Malgun Gothic"/>
                <w:b w:val="0"/>
                <w:sz w:val="13"/>
              </w:rPr>
              <w:t>6. 식품자동판매기의 종류 및 설치장소가 적힌 서류 1부(2대 이상의 식품자동판매기를 설치하고 일련관리번호를 부여하여 일괄 신고를 하는 경우만 해당합니다)</w:t>
            </w:r>
          </w:p>
          <w:p>
            <w:pPr>
              <w:spacing w:after="0" w:before="0" w:line="240" w:lineRule="auto"/>
              <w:jc w:val="left"/>
            </w:pPr>
            <w:r>
              <w:rPr>
                <w:rFonts w:ascii="Malgun Gothic" w:hAnsi="Malgun Gothic" w:eastAsia="Malgun Gothic" w:cs="Malgun Gothic"/>
                <w:b w:val="0"/>
                <w:sz w:val="13"/>
              </w:rPr>
              <w:t>7. 수상레저사업 등록증 1부(수상구조물로 된 수상레저사업장에서 「식품위생법 시행령」 제21조제8 호가목의 휴게음식점영업 및 같은 호 바목의 제과점영업을 하려는 경우만 해당합니다)</w:t>
            </w:r>
          </w:p>
          <w:p>
            <w:pPr>
              <w:spacing w:after="0" w:before="0" w:line="240" w:lineRule="auto"/>
              <w:jc w:val="left"/>
            </w:pPr>
            <w:r>
              <w:rPr>
                <w:rFonts w:ascii="Malgun Gothic" w:hAnsi="Malgun Gothic" w:eastAsia="Malgun Gothic" w:cs="Malgun Gothic"/>
                <w:b w:val="0"/>
                <w:sz w:val="13"/>
              </w:rPr>
              <w:t>8. 「국유재산법 시행규칙」 제14조제3항에 따른 국유재산 사용허가서 1부(국유철도의 정거장시설 또는 군사시설에서 「식품위생법 시행령」 제21조제2호의 즉석판매제조ㆍ가공업의 영업, 같은 조 제5호의 식품소분ㆍ판매업의 영업, 같은 조 제8호가목의 휴게음식점영업, 같은 호 나목의 일반음식점영업 또는 같은 호 바목의 제과점영업을 하려는 경우만 해당합니다)</w:t>
            </w:r>
          </w:p>
          <w:p>
            <w:pPr>
              <w:spacing w:after="0" w:before="0" w:line="240" w:lineRule="auto"/>
              <w:jc w:val="left"/>
            </w:pPr>
            <w:r>
              <w:rPr>
                <w:rFonts w:ascii="Malgun Gothic" w:hAnsi="Malgun Gothic" w:eastAsia="Malgun Gothic" w:cs="Malgun Gothic"/>
                <w:b w:val="0"/>
                <w:sz w:val="13"/>
              </w:rPr>
              <w:t>9. 해당 도시철도사업자와 체결한 도시철도시설 사용계약에 관한 서류 1부(도시철도의 정거장시설에서 「식품위생법 시행령」 제21조제2호의 즉석판매제조ㆍ가공업의 영업, 같은 조 제5호의 식품소분ㆍ판매업의 영업, 같은 조 제8호가목의 휴게음식점영업, 같은 호 나목의 일반음식점영업 또는 같은 호 바목의 제과점영업을 하려는 경우만 해당합니다)</w:t>
            </w:r>
          </w:p>
          <w:p>
            <w:pPr>
              <w:spacing w:after="0" w:before="0" w:line="240" w:lineRule="auto"/>
              <w:jc w:val="left"/>
            </w:pPr>
            <w:r>
              <w:rPr>
                <w:rFonts w:ascii="Malgun Gothic" w:hAnsi="Malgun Gothic" w:eastAsia="Malgun Gothic" w:cs="Malgun Gothic"/>
                <w:b w:val="0"/>
                <w:sz w:val="13"/>
              </w:rPr>
              <w:t>10. 예비군식당 운영계약에 관한 서류 1부(군사시설에서 「식품위생법 시행령」 제21조제8호나목의 일반음식점영업을 하려는 경우만 해당합니다)</w:t>
            </w:r>
          </w:p>
          <w:p>
            <w:pPr>
              <w:spacing w:after="0" w:before="0" w:line="240" w:lineRule="auto"/>
              <w:jc w:val="left"/>
            </w:pPr>
            <w:r>
              <w:rPr>
                <w:rFonts w:ascii="Malgun Gothic" w:hAnsi="Malgun Gothic" w:eastAsia="Malgun Gothic" w:cs="Malgun Gothic"/>
                <w:b w:val="0"/>
                <w:sz w:val="13"/>
              </w:rPr>
              <w:t>11. 영업장과 연접하는 외부 장소를 영업장으로 사용하려는 경우에는 해당 외부 장소에 대해 정당한 사용 권한이 있음을 증명하는 서류(「식품위생법 시행령」 제21조제8호가목의 휴게음식점영업, 같 은 호 나목의 일반음식점영업 또는 같은 호 바목의 제과점영업을 하려는 자가 해당 외부 장소에서 음식류 등을 제공하는 경우만 해당합니다)</w:t>
            </w:r>
          </w:p>
          <w:p>
            <w:pPr>
              <w:spacing w:after="0" w:before="0" w:line="240" w:lineRule="auto"/>
              <w:jc w:val="left"/>
            </w:pPr>
            <w:r>
              <w:rPr>
                <w:rFonts w:ascii="Malgun Gothic" w:hAnsi="Malgun Gothic" w:eastAsia="Malgun Gothic" w:cs="Malgun Gothic"/>
                <w:b w:val="0"/>
                <w:sz w:val="13"/>
              </w:rPr>
              <w:t>12. 해당 영업장에서 영업을 할 수 있음을 증명하는 「식품위생법 시행규칙」 별표 15의2에 따른 서류 1부[음식판매자동차(「자동차관리법 시행규칙」 별표 1 제1호ㆍ제2호 및 비고 제1호가목에 따른 이동용 음식판매 용도인 소형ㆍ경형화물자동차 또는 같은 표 제2호에 따른 이동용 음식판매 용도인 특수용도형 특수자동차)를 사용하여 「식품위생법 시행령」 제21조제8호가목의 휴게음식점영업, 같은 호 나목의 일반음식점영업 또는 같은 호 바목의 제과점영업을 하려는 경우만 해당합니다]</w:t>
            </w:r>
          </w:p>
          <w:p>
            <w:pPr>
              <w:spacing w:after="0" w:before="0" w:line="240" w:lineRule="auto"/>
              <w:jc w:val="left"/>
            </w:pPr>
            <w:r>
              <w:rPr>
                <w:rFonts w:ascii="Malgun Gothic" w:hAnsi="Malgun Gothic" w:eastAsia="Malgun Gothic" w:cs="Malgun Gothic"/>
                <w:b w:val="0"/>
                <w:sz w:val="13"/>
              </w:rPr>
              <w:t>13. 「어린이놀이시설 안전관리법」 제12조제1항 및 같은 법 시행령 제7조제4항에 따른 어린이놀이시설 설치검사합격증 또는 「어린이놀이시설 안전관리법」 제12조제2항 및 같은 법 시행령 제8조제5항에 따른 어린이놀이시설 정기시설검사합격증(「식품위생법 시행령」 제21조제8호가목, 나목, 마목 또는 바목의 영업을 하려는 경우로서 해당 영업장에 어린이놀이시설을 설치하는 경우만 해당합니다)</w:t>
            </w:r>
          </w:p>
          <w:p>
            <w:pPr>
              <w:spacing w:after="0" w:before="0" w:line="240" w:lineRule="auto"/>
              <w:jc w:val="left"/>
            </w:pPr>
            <w:r>
              <w:rPr>
                <w:rFonts w:ascii="Malgun Gothic" w:hAnsi="Malgun Gothic" w:eastAsia="Malgun Gothic" w:cs="Malgun Gothic"/>
                <w:b w:val="0"/>
                <w:sz w:val="13"/>
              </w:rPr>
              <w:t>14. 공유주방 소재지, 면적 등이 기재된 공유주방 사용계약에 관한 서류(「식품위생법 시행령」제21 조제9호의 공유주방 운영업자의 공유주방을 사용할 경우만 해당합니다)</w:t>
            </w:r>
          </w:p>
          <w:p>
            <w:pPr>
              <w:spacing w:after="0" w:before="0" w:line="240" w:lineRule="auto"/>
              <w:jc w:val="left"/>
            </w:pPr>
            <w:r>
              <w:rPr>
                <w:rFonts w:ascii="Malgun Gothic" w:hAnsi="Malgun Gothic" w:eastAsia="Malgun Gothic" w:cs="Malgun Gothic"/>
                <w:b w:val="0"/>
                <w:sz w:val="13"/>
              </w:rPr>
              <w:t>15. 「마리나항만의 조성 및 관리 등에 관한 법률 시행규칙」 제22조제5항에 따른 마리나선박 대여업 등록증(「마리나항만의 조성 및 관리 등에 관한 법률」에 따른 마리나선박에서 영 제21조제8호가목, 나목 또는 바목에 따른 영업을 하려는 경우만 해당합니다)</w:t>
            </w:r>
          </w:p>
        </w:tc>
        <w:tc>
          <w:tcPr>
            <w:tcW w:type="dxa" w:w="2066"/>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수수료</w:t>
            </w:r>
          </w:p>
        </w:tc>
      </w:tr>
      <w:tr>
        <w:trPr>
          <w:trHeight w:val="533" w:hRule="atLeast"/>
        </w:trPr>
        <w:tc>
          <w:tcPr>
            <w:tcW w:type="dxa" w:w="817"/>
            <w:vMerge/>
          </w:tcPr>
          <w:p/>
        </w:tc>
        <w:tc>
          <w:tcPr>
            <w:tcW w:type="dxa" w:w="6981"/>
            <w:vMerge/>
          </w:tcPr>
          <w:p/>
        </w:tc>
        <w:tc>
          <w:tcPr>
            <w:tcW w:type="dxa" w:w="68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구분</w:t>
            </w:r>
          </w:p>
        </w:tc>
        <w:tc>
          <w:tcPr>
            <w:tcW w:type="dxa" w:w="68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전자민원</w:t>
            </w:r>
          </w:p>
        </w:tc>
        <w:tc>
          <w:tcPr>
            <w:tcW w:type="dxa" w:w="6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방문ㆍ</w:t>
            </w:r>
          </w:p>
          <w:p>
            <w:pPr>
              <w:spacing w:after="0" w:before="0" w:line="240" w:lineRule="auto"/>
              <w:jc w:val="left"/>
            </w:pPr>
            <w:r>
              <w:rPr>
                <w:rFonts w:ascii="Malgun Gothic" w:hAnsi="Malgun Gothic" w:eastAsia="Malgun Gothic" w:cs="Malgun Gothic"/>
                <w:b w:val="0"/>
                <w:sz w:val="13"/>
              </w:rPr>
              <w:t>우편민원</w:t>
            </w:r>
          </w:p>
        </w:tc>
      </w:tr>
      <w:tr>
        <w:trPr>
          <w:trHeight w:val="4272" w:hRule="atLeast"/>
        </w:trPr>
        <w:tc>
          <w:tcPr>
            <w:tcW w:type="dxa" w:w="817"/>
            <w:vMerge/>
          </w:tcPr>
          <w:p/>
        </w:tc>
        <w:tc>
          <w:tcPr>
            <w:tcW w:type="dxa" w:w="6981"/>
            <w:vMerge/>
          </w:tcPr>
          <w:p/>
        </w:tc>
        <w:tc>
          <w:tcPr>
            <w:tcW w:type="dxa" w:w="68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「식품위 생법 시행 규칙」 제 42조제3 항에 따른 한시적 영 업신고의 경우</w:t>
            </w:r>
          </w:p>
        </w:tc>
        <w:tc>
          <w:tcPr>
            <w:tcW w:type="dxa" w:w="68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8,300원</w:t>
            </w:r>
          </w:p>
        </w:tc>
        <w:tc>
          <w:tcPr>
            <w:tcW w:type="dxa" w:w="69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9,300원</w:t>
            </w:r>
          </w:p>
        </w:tc>
      </w:tr>
      <w:tr>
        <w:trPr>
          <w:trHeight w:val="1241" w:hRule="atLeast"/>
        </w:trPr>
        <w:tc>
          <w:tcPr>
            <w:tcW w:type="dxa" w:w="817"/>
            <w:vMerge/>
          </w:tcPr>
          <w:p/>
        </w:tc>
        <w:tc>
          <w:tcPr>
            <w:tcW w:type="dxa" w:w="6981"/>
            <w:vMerge/>
          </w:tcPr>
          <w:p/>
        </w:tc>
        <w:tc>
          <w:tcPr>
            <w:tcW w:type="dxa" w:w="686"/>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그 밖의</w:t>
            </w:r>
          </w:p>
          <w:p>
            <w:pPr>
              <w:spacing w:after="0" w:before="0" w:line="240" w:lineRule="auto"/>
              <w:jc w:val="left"/>
            </w:pPr>
            <w:r>
              <w:rPr>
                <w:rFonts w:ascii="Malgun Gothic" w:hAnsi="Malgun Gothic" w:eastAsia="Malgun Gothic" w:cs="Malgun Gothic"/>
                <w:b w:val="0"/>
                <w:sz w:val="13"/>
              </w:rPr>
              <w:t>영업신고</w:t>
            </w:r>
          </w:p>
        </w:tc>
        <w:tc>
          <w:tcPr>
            <w:tcW w:type="dxa" w:w="686"/>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25,200원</w:t>
            </w:r>
          </w:p>
        </w:tc>
        <w:tc>
          <w:tcPr>
            <w:tcW w:type="dxa" w:w="69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28,000원</w:t>
            </w:r>
          </w:p>
        </w:tc>
      </w:tr>
      <w:tr>
        <w:trPr>
          <w:trHeight w:val="3042" w:hRule="atLeast"/>
        </w:trPr>
        <w:tc>
          <w:tcPr>
            <w:tcW w:type="dxa" w:w="81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담당</w:t>
            </w:r>
          </w:p>
          <w:p>
            <w:pPr>
              <w:spacing w:after="0" w:before="0" w:line="240" w:lineRule="auto"/>
              <w:jc w:val="center"/>
            </w:pPr>
            <w:r>
              <w:rPr>
                <w:rFonts w:ascii="Malgun Gothic" w:hAnsi="Malgun Gothic" w:eastAsia="Malgun Gothic" w:cs="Malgun Gothic"/>
                <w:b w:val="0"/>
                <w:sz w:val="13"/>
              </w:rPr>
              <w:t>공무원</w:t>
            </w:r>
          </w:p>
          <w:p>
            <w:pPr>
              <w:spacing w:after="0" w:before="0" w:line="240" w:lineRule="auto"/>
              <w:jc w:val="center"/>
            </w:pPr>
            <w:r>
              <w:rPr>
                <w:rFonts w:ascii="Malgun Gothic" w:hAnsi="Malgun Gothic" w:eastAsia="Malgun Gothic" w:cs="Malgun Gothic"/>
                <w:b w:val="0"/>
                <w:sz w:val="13"/>
              </w:rPr>
              <w:t>확인사항</w:t>
            </w:r>
          </w:p>
        </w:tc>
        <w:tc>
          <w:tcPr>
            <w:tcW w:type="dxa" w:w="698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1. 토지이용계획확인서(「식품위생법 시행규칙」 제42조제1항제10호에 따른 국유재산 사용허가서를 제출한 경우에는 제외합니다)</w:t>
            </w:r>
          </w:p>
          <w:p>
            <w:pPr>
              <w:spacing w:after="0" w:before="0" w:line="240" w:lineRule="auto"/>
              <w:jc w:val="left"/>
            </w:pPr>
            <w:r>
              <w:rPr>
                <w:rFonts w:ascii="Malgun Gothic" w:hAnsi="Malgun Gothic" w:eastAsia="Malgun Gothic" w:cs="Malgun Gothic"/>
                <w:b w:val="0"/>
                <w:sz w:val="13"/>
              </w:rPr>
              <w:t>2. 건축물대장 또는 「건축법」 제22조제3항제2호에 따른 건축물의 임시사용 승인서(「식품위생법 시행규칙」 제42조제1항제10호에 따른 국유재산 사용허가서를 제출한 경우에는 제외합니다)</w:t>
            </w:r>
          </w:p>
          <w:p>
            <w:pPr>
              <w:spacing w:after="0" w:before="0" w:line="240" w:lineRule="auto"/>
              <w:jc w:val="left"/>
            </w:pPr>
            <w:r>
              <w:rPr>
                <w:rFonts w:ascii="Malgun Gothic" w:hAnsi="Malgun Gothic" w:eastAsia="Malgun Gothic" w:cs="Malgun Gothic"/>
                <w:b w:val="0"/>
                <w:sz w:val="13"/>
              </w:rPr>
              <w:t>3. 액화석유가스 사용시설완성검사증명서(「식품위생법 시행령」 제21조제8호가목의 휴게음식점영업, 같은 호 나목의 일반음식점영업 및 같은 호 바목의 제과점영업을 하려는 사람 중 「액화석유가스의 안전관리 및 사업법」 제44조제2항에 따라 액화석유가스 사용시설의 완성검사를 받아야 하는 사람의 경우만 해당합니다)</w:t>
            </w:r>
          </w:p>
          <w:p>
            <w:pPr>
              <w:spacing w:after="0" w:before="0" w:line="240" w:lineRule="auto"/>
              <w:jc w:val="left"/>
            </w:pPr>
            <w:r>
              <w:rPr>
                <w:rFonts w:ascii="Malgun Gothic" w:hAnsi="Malgun Gothic" w:eastAsia="Malgun Gothic" w:cs="Malgun Gothic"/>
                <w:b w:val="0"/>
                <w:sz w:val="13"/>
              </w:rPr>
              <w:t>4. 자동차등록증(음식판매자동차를 사용하여 「식품위생법 시행령」 제21조제8호가목의 휴게음식점영업, 같은 호 나목의 일반음식점영업 또는 같은 호 바목의 제과점영업을 하려는 경우만 해당합니다)</w:t>
            </w:r>
          </w:p>
          <w:p>
            <w:pPr>
              <w:spacing w:after="0" w:before="0" w:line="240" w:lineRule="auto"/>
              <w:jc w:val="left"/>
            </w:pPr>
            <w:r>
              <w:rPr>
                <w:rFonts w:ascii="Malgun Gothic" w:hAnsi="Malgun Gothic" w:eastAsia="Malgun Gothic" w:cs="Malgun Gothic"/>
                <w:b w:val="0"/>
                <w:sz w:val="13"/>
              </w:rPr>
              <w:t>5. 사업자등록증(음식판매자동차를 사용하여 「고등교육법」 제2조에 따른 학교에서 해당 학교의 경영자가 「식품위생법 시행령」 제21조제8호가목의 휴게음식점영업, 같은 호 나목의 일반음식점영업 또는 같은 호 바목의 제과점영업을 하려는 경우만 해당합니다)</w:t>
            </w:r>
          </w:p>
          <w:p>
            <w:pPr>
              <w:spacing w:after="0" w:before="0" w:line="240" w:lineRule="auto"/>
              <w:jc w:val="left"/>
            </w:pPr>
            <w:r>
              <w:rPr>
                <w:rFonts w:ascii="Malgun Gothic" w:hAnsi="Malgun Gothic" w:eastAsia="Malgun Gothic" w:cs="Malgun Gothic"/>
                <w:b w:val="0"/>
                <w:sz w:val="13"/>
              </w:rPr>
              <w:t>6. 건강진단결과서(제49조에 따른 건강진단대상자의 경우만 해당합니다)</w:t>
            </w:r>
          </w:p>
          <w:p>
            <w:pPr>
              <w:spacing w:after="0" w:before="0" w:line="240" w:lineRule="auto"/>
              <w:jc w:val="left"/>
            </w:pPr>
            <w:r>
              <w:rPr>
                <w:rFonts w:ascii="Malgun Gothic" w:hAnsi="Malgun Gothic" w:eastAsia="Malgun Gothic" w:cs="Malgun Gothic"/>
                <w:b w:val="0"/>
                <w:sz w:val="13"/>
              </w:rPr>
              <w:t>7. 「다중이용업소의 안전관리에 관한 특별법」 제9조제5항에 따라 소방본부장 또는 소방서장이 발 급하는 안전시설등 완비증명서(「다중이용업소의 안전관리에 관한 특별법 시행령」 제2조제1호가 목에 따른 영업을 하려는 경우만 해당합니다)</w:t>
            </w:r>
          </w:p>
        </w:tc>
        <w:tc>
          <w:tcPr>
            <w:tcW w:type="dxa" w:w="686"/>
            <w:vMerge/>
          </w:tcPr>
          <w:p/>
        </w:tc>
        <w:tc>
          <w:tcPr>
            <w:tcW w:type="dxa" w:w="686"/>
            <w:vMerge/>
          </w:tcPr>
          <w:p/>
        </w:tc>
        <w:tc>
          <w:tcPr>
            <w:tcW w:type="dxa" w:w="694"/>
            <w:vMerge/>
          </w:tcPr>
          <w:p/>
        </w:tc>
      </w:tr>
      <w:tr>
        <w:trPr>
          <w:trHeight w:val="239" w:hRule="atLeast"/>
        </w:trPr>
        <w:tc>
          <w:tcPr>
            <w:tcW w:type="dxa" w:w="9864"/>
            <w:gridSpan w:val="5"/>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처 리 절 차</w:t>
            </w:r>
          </w:p>
        </w:tc>
      </w:tr>
    </w:tbl>
    <w:p>
      <w:pPr>
        <w:spacing w:before="0" w:after="0" w:line="20" w:lineRule="exact"/>
        <w:rPr>
          <w:sz w:val="2"/>
        </w:rPr>
      </w:pPr>
    </w:p>
    <w:p>
      <w:pPr>
        <w:spacing w:before="0" w:after="155" w:line="20" w:lineRule="exact"/>
        <w:rPr>
          <w:sz w:val="2"/>
        </w:rPr>
      </w:pPr>
    </w:p>
    <w:p>
      <w:pPr>
        <w:spacing w:after="0" w:before="0" w:line="240" w:lineRule="auto"/>
        <w:jc w:val="right"/>
      </w:pPr>
      <w:r>
        <w:rPr>
          <w:rFonts w:ascii="Malgun Gothic" w:hAnsi="Malgun Gothic" w:eastAsia="Malgun Gothic" w:cs="Malgun Gothic"/>
          <w:b w:val="0"/>
          <w:sz w:val="13"/>
        </w:rPr>
        <w:t>필요시 시설조사</w:t>
      </w:r>
    </w:p>
    <w:p>
      <w:pPr>
        <w:spacing w:after="0" w:before="0" w:line="240" w:lineRule="auto"/>
        <w:jc w:val="left"/>
      </w:pPr>
      <w:r>
        <w:rPr>
          <w:rFonts w:ascii="Malgun Gothic" w:hAnsi="Malgun Gothic" w:eastAsia="Malgun Gothic" w:cs="Malgun Gothic"/>
          <w:b w:val="0"/>
          <w:sz w:val="13"/>
        </w:rPr>
        <w:t>신고서 작성 →   접 수   →   검 토   →   결 재   →  신고증 발급  →</w:t>
      </w:r>
    </w:p>
    <w:p>
      <w:pPr>
        <w:spacing w:after="0" w:before="0" w:line="240" w:lineRule="auto"/>
        <w:jc w:val="right"/>
      </w:pPr>
      <w:r>
        <w:rPr>
          <w:rFonts w:ascii="Malgun Gothic" w:hAnsi="Malgun Gothic" w:eastAsia="Malgun Gothic" w:cs="Malgun Gothic"/>
          <w:b w:val="0"/>
          <w:sz w:val="13"/>
        </w:rPr>
        <w:t>(15일 이내)</w:t>
      </w:r>
    </w:p>
    <w:p>
      <w:pPr>
        <w:spacing w:before="0" w:after="75" w:line="20" w:lineRule="exact"/>
        <w:rPr>
          <w:sz w:val="2"/>
        </w:rPr>
      </w:pPr>
    </w:p>
    <w:p>
      <w:pPr>
        <w:spacing w:after="0" w:before="0" w:line="240" w:lineRule="auto"/>
        <w:jc w:val="left"/>
      </w:pPr>
      <w:r>
        <w:rPr>
          <w:rFonts w:ascii="Malgun Gothic" w:hAnsi="Malgun Gothic" w:eastAsia="Malgun Gothic" w:cs="Malgun Gothic"/>
          <w:b w:val="0"/>
          <w:sz w:val="13"/>
        </w:rPr>
        <w:t>신고인            처리기관 : 특별자치시ㆍ특별자치도ㆍ시ㆍ군ㆍ구(식품영업신고 담당부서)</w:t>
      </w:r>
    </w:p>
    <w:sectPr w:rsidR="00FC693F" w:rsidRPr="0006063C" w:rsidSect="00034616">
      <w:footerReference w:type="default" r:id="rId9"/>
      <w:pgSz w:w="11906" w:h="16838"/>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Malgun Gothic" w:hAnsi="Malgun Gothic" w:eastAsia="Malgun Gothic" w:cs="Malgun Gothic"/>
        <w:b w:val="0"/>
        <w:color w:val="6B7280"/>
        <w:sz w:val="15"/>
      </w:rPr>
      <w:t>무료서식 다운로드</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algun Gothic" w:hAnsi="Malgun Gothic" w:eastAsia="Malgun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