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물품구매계약서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0"/>
        </w:rPr>
        <w:t>발주자와 공급자는 다음과 같이 물품구매계약을 체결한다.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계약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발주자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상호(기관명)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사업자번호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주소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연락처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공급자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상호(법인명)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사업자번호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주소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연락처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계약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계약금액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납품기한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납품장소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구매 물품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453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품명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규격</w:t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단가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금액</w:t>
            </w:r>
          </w:p>
        </w:tc>
      </w:tr>
      <w:tr>
        <w:trPr>
          <w:trHeight w:val="453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10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제1조 (목적)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본 계약은 발주자가 공급자로부터 위 물품을 구매하는 데 필요한 사항을 정함을 목적으로 한다.</w:t>
      </w:r>
    </w:p>
    <w:p>
      <w:pPr>
        <w:spacing w:after="40" w:before="10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제2조 (계약금액과 대금지급)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발주자는 물품 검수 완료 후 공급자가 청구하는 계약금액을 지정한 기한 내에 지급한다.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대금은 공급자가 지정한 계좌로 지급한다.</w:t>
      </w:r>
    </w:p>
    <w:p>
      <w:r>
        <w:br w:type="page"/>
      </w:r>
    </w:p>
    <w:p>
      <w:pPr>
        <w:spacing w:after="40" w:before="10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제3조 (납품과 검사)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공급자는 정한 납품기한과 장소에 물품을 납품하고, 발주자는 규격·수량을 검사한 뒤 그 결과를 통지한다.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검사 결과 부적합한 물품은 공급자의 비용으로 교체·보완한다.</w:t>
      </w:r>
    </w:p>
    <w:p>
      <w:pPr>
        <w:spacing w:after="40" w:before="10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제4조 (계약보증금)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공급자는 계약 체결 시 발주자가 정한 비율의 계약보증금을 납부하며, 계약을 정상 이행하면 반환한다.</w:t>
      </w:r>
    </w:p>
    <w:p>
      <w:pPr>
        <w:spacing w:after="40" w:before="10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제5조 (지체상금)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공급자가 정한 납품기한을 지키지 못하면 지체일수에 대하여 계약에서 정한 지체상금률을 계약금액에 곱한 금액을 배상한다.</w:t>
      </w:r>
    </w:p>
    <w:p>
      <w:pPr>
        <w:spacing w:after="40" w:before="10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제6조 (하자보수)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공급자는 검수 완료일로부터 정한 하자보수기간 동안 물품의 하자에 대하여 무상으로 보수하거나 교체한다.</w:t>
      </w:r>
    </w:p>
    <w:p>
      <w:pPr>
        <w:spacing w:after="40" w:before="10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제7조 (계약의 해제·해지)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당사자 일방이 계약 내용을 이행하지 않거나 이행이 불가능한 경우 상대방은 상당한 기간을 정하여 최고한 후 계약을 해제·해지할 수 있다.</w:t>
      </w:r>
    </w:p>
    <w:p>
      <w:pPr>
        <w:spacing w:after="40" w:before="100" w:line="312" w:lineRule="auto"/>
        <w:jc w:val="left"/>
      </w:pPr>
      <w:r>
        <w:rPr>
          <w:rFonts w:ascii="Malgun Gothic" w:hAnsi="Malgun Gothic" w:eastAsia="Malgun Gothic" w:cs="Malgun Gothic"/>
          <w:b/>
          <w:sz w:val="21"/>
        </w:rPr>
        <w:t>제8조 (분쟁해결)</w:t>
      </w:r>
    </w:p>
    <w:p>
      <w:pPr>
        <w:spacing w:after="40" w:before="0" w:line="312" w:lineRule="auto"/>
        <w:ind w:left="170"/>
        <w:jc w:val="both"/>
      </w:pPr>
      <w:r>
        <w:rPr>
          <w:rFonts w:ascii="Malgun Gothic" w:hAnsi="Malgun Gothic" w:eastAsia="Malgun Gothic" w:cs="Malgun Gothic"/>
          <w:b w:val="0"/>
          <w:sz w:val="20"/>
        </w:rPr>
        <w:t>본 계약에 관한 분쟁은 먼저 당사자 간 협의로 해결하며, 협의가 이루어지지 않으면 관할법원에 제기할 수 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발주자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공급자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계약보증금·지체상금률 등 세부 기준은 발주기관의 계약 조건과 관련 법령·계약예규를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