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민사조정 신청서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신청인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피신청인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사건명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사건명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신청 취지</w:t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조정으로 구하고자 하는 내용을 간략히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96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분쟁의 내용</w:t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분쟁의 경위와 현재까지의 경과를 시간순으로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68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조정을 구하는 이유</w:t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소송이 아닌 조정 절차를 택한 이유를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96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첨부 서류</w:t>
      </w:r>
    </w:p>
    <w:p>
      <w:pPr>
        <w:spacing w:after="3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금전차용증서 사본 1부</w:t>
      </w:r>
    </w:p>
    <w:p>
      <w:pPr>
        <w:spacing w:after="3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계좌이체 내역서 사본 1부</w:t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10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8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4"/>
        </w:rPr>
        <w:t xml:space="preserve">                        법원  귀중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민사조정은 인지대와 송달료가 소송에 비해 저렴한 경우가 일반적이나, 구체적인 금액과 절차는 관할 법원에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