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내  용  증  명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발신인·수신인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발신인 성명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발신인 주소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수신인 성명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수신인 주소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통지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39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통지 사유, 배경, 구체적인 내용을 명확하게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5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요구사항 및 이행기한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상대방에게 요구하는 사항과 구체적인 이행기한(예: 2026년 9월 30일까지)을 명시하십시오.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6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통보합니다.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내용증명은 우체국 창구에서 등기로 발송하며, 발신인용·수신인용·우체국 보관용 3부가 작성됩니다. 통지 내용이 명확할수록 법적 효력이 강하므로 정확하고 구체적으로 기재하십시오.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