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내  용  증  명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대여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대여일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변제기일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대여금액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이자율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송금계좌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통지 내용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대여 경위와 변제기일이 지난 사실을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8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요구 사항 및 이행 기한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요구하는 사항과 구체적인 이행 기한을 명시하십시오.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기한까지 이행되지 않을 경우 부득이 법적 절차를 진행할 수 있음을 알려드립니다.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내용증명은 우체국 창구에서 발신인용·수신인용·우체국 보관용 3부를 작성하여 제출합니다. 개별 사안의 법적 효력과 대응 방법은 변호사 등 전문가에게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