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내  용  증  명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임대차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목적물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 종료일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명도일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통지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임대차 경위와 명도 후 보증금을 반환받지 못한 사실을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요구 사항 및 이행 기한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요구하는 사항과 구체적인 이행 기한을 명시하십시오.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기한까지 보증금이 반환되지 않을 경우 부득이 법적 절차를 진행할 수 있음을 알려드립니다.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내용증명은 우체국 창구에서 발신인용·수신인용·우체국 보관용 3부를 작성하여 제출합니다. 보증금 반환과 관련한 구체적인 법적 절차는 변호사 등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